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r>
        <w:rPr>
          <w:rFonts w:hint="eastAsia" w:ascii="仿宋_GB2312" w:eastAsia="仿宋_GB2312"/>
          <w:b/>
          <w:sz w:val="32"/>
          <w:szCs w:val="32"/>
        </w:rPr>
        <w:t>安徽工程大学2019年度人才招聘公告</w:t>
      </w:r>
    </w:p>
    <w:p>
      <w:pPr>
        <w:jc w:val="center"/>
        <w:rPr>
          <w:rFonts w:ascii="仿宋_GB2312" w:eastAsia="仿宋_GB2312"/>
          <w:b/>
          <w:sz w:val="32"/>
          <w:szCs w:val="32"/>
        </w:rPr>
      </w:pPr>
    </w:p>
    <w:p>
      <w:pPr>
        <w:ind w:firstLine="560" w:firstLineChars="200"/>
        <w:rPr>
          <w:rFonts w:ascii="仿宋_GB2312" w:eastAsia="仿宋_GB2312"/>
          <w:bCs/>
          <w:color w:val="000000" w:themeColor="text1"/>
          <w:sz w:val="28"/>
          <w:szCs w:val="28"/>
        </w:rPr>
      </w:pPr>
      <w:r>
        <w:rPr>
          <w:rFonts w:hint="eastAsia" w:ascii="仿宋_GB2312" w:eastAsia="仿宋_GB2312"/>
          <w:bCs/>
          <w:color w:val="000000" w:themeColor="text1"/>
          <w:sz w:val="28"/>
          <w:szCs w:val="28"/>
        </w:rPr>
        <w:t>安徽工程大学是一所以工为主的省属多科性高等院校和安徽省重点建设院校，是国家中西部高校基础能力建设工程项目建设高校，坐落在国家级开放城市芜湖。学校大力实施“人才强校、创新驱动、开放办学、特色发展”战略，正向着“国内知名、省内一流的地方特色高水平大学”的建设目标奋进。真诚期待海内外优秀人才加盟。</w:t>
      </w:r>
    </w:p>
    <w:p>
      <w:pPr>
        <w:ind w:left="638" w:leftChars="304" w:firstLine="1"/>
        <w:rPr>
          <w:rFonts w:ascii="仿宋_GB2312" w:eastAsia="仿宋_GB2312"/>
          <w:b/>
          <w:sz w:val="28"/>
          <w:szCs w:val="28"/>
        </w:rPr>
      </w:pPr>
      <w:r>
        <w:rPr>
          <w:rFonts w:hint="eastAsia" w:ascii="仿宋_GB2312" w:eastAsia="仿宋_GB2312"/>
          <w:b/>
          <w:sz w:val="28"/>
          <w:szCs w:val="28"/>
        </w:rPr>
        <w:t>一、</w:t>
      </w:r>
      <w:r>
        <w:rPr>
          <w:rFonts w:hint="eastAsia" w:ascii="仿宋_GB2312" w:eastAsia="仿宋_GB2312"/>
          <w:b/>
          <w:bCs/>
          <w:sz w:val="28"/>
          <w:szCs w:val="28"/>
        </w:rPr>
        <w:t>招聘对象及待遇</w:t>
      </w:r>
      <w:r>
        <w:rPr>
          <w:rFonts w:ascii="仿宋_GB2312" w:eastAsia="仿宋_GB2312"/>
          <w:b/>
          <w:bCs/>
          <w:sz w:val="28"/>
          <w:szCs w:val="28"/>
        </w:rPr>
        <w:br w:type="textWrapping"/>
      </w:r>
      <w:r>
        <w:rPr>
          <w:rFonts w:hint="eastAsia" w:ascii="仿宋_GB2312" w:eastAsia="仿宋_GB2312"/>
          <w:bCs/>
          <w:sz w:val="28"/>
          <w:szCs w:val="28"/>
        </w:rPr>
        <w:t>1.招聘对象及待遇如下表所示。</w:t>
      </w:r>
    </w:p>
    <w:tbl>
      <w:tblPr>
        <w:tblStyle w:val="15"/>
        <w:tblW w:w="9133" w:type="dxa"/>
        <w:jc w:val="center"/>
        <w:tblInd w:w="-145" w:type="dxa"/>
        <w:tblLayout w:type="fixed"/>
        <w:tblCellMar>
          <w:top w:w="15" w:type="dxa"/>
          <w:left w:w="15" w:type="dxa"/>
          <w:bottom w:w="15" w:type="dxa"/>
          <w:right w:w="15" w:type="dxa"/>
        </w:tblCellMar>
      </w:tblPr>
      <w:tblGrid>
        <w:gridCol w:w="421"/>
        <w:gridCol w:w="801"/>
        <w:gridCol w:w="662"/>
        <w:gridCol w:w="509"/>
        <w:gridCol w:w="480"/>
        <w:gridCol w:w="778"/>
        <w:gridCol w:w="779"/>
        <w:gridCol w:w="669"/>
        <w:gridCol w:w="1084"/>
        <w:gridCol w:w="1570"/>
        <w:gridCol w:w="1380"/>
      </w:tblGrid>
      <w:tr>
        <w:tblPrEx>
          <w:tblLayout w:type="fixed"/>
          <w:tblCellMar>
            <w:top w:w="15" w:type="dxa"/>
            <w:left w:w="15" w:type="dxa"/>
            <w:bottom w:w="15" w:type="dxa"/>
            <w:right w:w="15" w:type="dxa"/>
          </w:tblCellMar>
        </w:tblPrEx>
        <w:trPr>
          <w:trHeight w:val="286" w:hRule="atLeast"/>
          <w:jc w:val="center"/>
        </w:trPr>
        <w:tc>
          <w:tcPr>
            <w:tcW w:w="9133" w:type="dxa"/>
            <w:gridSpan w:val="11"/>
            <w:shd w:val="clear" w:color="auto" w:fill="auto"/>
            <w:vAlign w:val="center"/>
          </w:tcPr>
          <w:p>
            <w:pPr>
              <w:widowControl/>
              <w:ind w:firstLine="1190" w:firstLineChars="539"/>
              <w:textAlignment w:val="center"/>
              <w:rPr>
                <w:rFonts w:ascii="宋体" w:hAnsi="宋体" w:eastAsia="宋体" w:cs="宋体"/>
                <w:b/>
                <w:color w:val="000000"/>
                <w:sz w:val="22"/>
              </w:rPr>
            </w:pPr>
          </w:p>
        </w:tc>
      </w:tr>
      <w:tr>
        <w:tblPrEx>
          <w:tblLayout w:type="fixed"/>
          <w:tblCellMar>
            <w:top w:w="15" w:type="dxa"/>
            <w:left w:w="15" w:type="dxa"/>
            <w:bottom w:w="15" w:type="dxa"/>
            <w:right w:w="15" w:type="dxa"/>
          </w:tblCellMar>
        </w:tblPrEx>
        <w:trPr>
          <w:trHeight w:val="555" w:hRule="atLeast"/>
          <w:jc w:val="center"/>
        </w:trPr>
        <w:tc>
          <w:tcPr>
            <w:tcW w:w="18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color w:val="000000"/>
                <w:sz w:val="20"/>
                <w:szCs w:val="20"/>
              </w:rPr>
            </w:pPr>
            <w:r>
              <w:rPr>
                <w:rFonts w:hint="eastAsia" w:ascii="宋体" w:hAnsi="宋体" w:eastAsia="宋体" w:cs="宋体"/>
                <w:b/>
                <w:color w:val="000000"/>
                <w:kern w:val="0"/>
                <w:sz w:val="20"/>
                <w:szCs w:val="20"/>
              </w:rPr>
              <w:t>人才类别</w:t>
            </w:r>
          </w:p>
        </w:tc>
        <w:tc>
          <w:tcPr>
            <w:tcW w:w="9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color w:val="000000"/>
                <w:sz w:val="20"/>
                <w:szCs w:val="20"/>
              </w:rPr>
            </w:pPr>
            <w:r>
              <w:rPr>
                <w:rFonts w:hint="eastAsia" w:ascii="宋体" w:hAnsi="宋体" w:eastAsia="宋体" w:cs="宋体"/>
                <w:b/>
                <w:color w:val="000000"/>
                <w:kern w:val="0"/>
                <w:sz w:val="20"/>
                <w:szCs w:val="20"/>
              </w:rPr>
              <w:t>购房与安家补贴</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color w:val="000000"/>
                <w:sz w:val="20"/>
                <w:szCs w:val="20"/>
              </w:rPr>
            </w:pPr>
            <w:r>
              <w:rPr>
                <w:rFonts w:hint="eastAsia" w:ascii="宋体" w:hAnsi="宋体" w:eastAsia="宋体" w:cs="宋体"/>
                <w:b/>
                <w:color w:val="000000"/>
                <w:kern w:val="0"/>
                <w:sz w:val="20"/>
                <w:szCs w:val="20"/>
              </w:rPr>
              <w:t>租房补贴或过渡住房</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color w:val="000000"/>
                <w:sz w:val="20"/>
                <w:szCs w:val="20"/>
              </w:rPr>
            </w:pPr>
            <w:r>
              <w:rPr>
                <w:rFonts w:hint="eastAsia" w:ascii="宋体" w:hAnsi="宋体" w:eastAsia="宋体" w:cs="宋体"/>
                <w:b/>
                <w:color w:val="000000"/>
                <w:kern w:val="0"/>
                <w:sz w:val="20"/>
                <w:szCs w:val="20"/>
              </w:rPr>
              <w:t>科研启动经费</w:t>
            </w:r>
          </w:p>
        </w:tc>
        <w:tc>
          <w:tcPr>
            <w:tcW w:w="33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color w:val="000000"/>
                <w:sz w:val="20"/>
                <w:szCs w:val="20"/>
              </w:rPr>
            </w:pPr>
            <w:r>
              <w:rPr>
                <w:rFonts w:hint="eastAsia" w:ascii="宋体" w:hAnsi="宋体" w:eastAsia="宋体" w:cs="宋体"/>
                <w:b/>
                <w:color w:val="000000"/>
                <w:kern w:val="0"/>
                <w:sz w:val="20"/>
                <w:szCs w:val="20"/>
              </w:rPr>
              <w:t>薪酬待遇等</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color w:val="000000"/>
                <w:sz w:val="20"/>
                <w:szCs w:val="20"/>
              </w:rPr>
            </w:pPr>
            <w:r>
              <w:rPr>
                <w:rFonts w:hint="eastAsia" w:ascii="宋体" w:hAnsi="宋体" w:eastAsia="宋体" w:cs="宋体"/>
                <w:b/>
                <w:color w:val="000000"/>
                <w:kern w:val="0"/>
                <w:sz w:val="20"/>
                <w:szCs w:val="20"/>
              </w:rPr>
              <w:t>配偶安置</w:t>
            </w:r>
          </w:p>
        </w:tc>
      </w:tr>
      <w:tr>
        <w:tblPrEx>
          <w:tblLayout w:type="fixed"/>
          <w:tblCellMar>
            <w:top w:w="15" w:type="dxa"/>
            <w:left w:w="15" w:type="dxa"/>
            <w:bottom w:w="15" w:type="dxa"/>
            <w:right w:w="15" w:type="dxa"/>
          </w:tblCellMar>
        </w:tblPrEx>
        <w:trPr>
          <w:trHeight w:val="615" w:hRule="atLeast"/>
          <w:jc w:val="center"/>
        </w:trPr>
        <w:tc>
          <w:tcPr>
            <w:tcW w:w="4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color w:val="000000"/>
                <w:sz w:val="20"/>
                <w:szCs w:val="20"/>
              </w:rPr>
            </w:pPr>
            <w:r>
              <w:rPr>
                <w:rFonts w:hint="eastAsia" w:ascii="宋体" w:hAnsi="宋体" w:eastAsia="宋体" w:cs="宋体"/>
                <w:b/>
                <w:color w:val="000000"/>
                <w:kern w:val="0"/>
                <w:sz w:val="20"/>
                <w:szCs w:val="20"/>
              </w:rPr>
              <w:t>学科带头人</w:t>
            </w:r>
          </w:p>
        </w:tc>
        <w:tc>
          <w:tcPr>
            <w:tcW w:w="1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一类人才</w:t>
            </w:r>
          </w:p>
        </w:tc>
        <w:tc>
          <w:tcPr>
            <w:tcW w:w="9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面议</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面议</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面议</w:t>
            </w:r>
          </w:p>
        </w:tc>
        <w:tc>
          <w:tcPr>
            <w:tcW w:w="33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面议</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安置配偶工作</w:t>
            </w:r>
          </w:p>
        </w:tc>
      </w:tr>
      <w:tr>
        <w:tblPrEx>
          <w:tblLayout w:type="fixed"/>
          <w:tblCellMar>
            <w:top w:w="15" w:type="dxa"/>
            <w:left w:w="15" w:type="dxa"/>
            <w:bottom w:w="15" w:type="dxa"/>
            <w:right w:w="15" w:type="dxa"/>
          </w:tblCellMar>
        </w:tblPrEx>
        <w:trPr>
          <w:trHeight w:val="675" w:hRule="atLeast"/>
          <w:jc w:val="center"/>
        </w:trPr>
        <w:tc>
          <w:tcPr>
            <w:tcW w:w="4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color w:val="000000"/>
                <w:sz w:val="20"/>
                <w:szCs w:val="20"/>
              </w:rPr>
            </w:pPr>
          </w:p>
        </w:tc>
        <w:tc>
          <w:tcPr>
            <w:tcW w:w="1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二类人才</w:t>
            </w:r>
          </w:p>
        </w:tc>
        <w:tc>
          <w:tcPr>
            <w:tcW w:w="9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150万元（其中安家费30万元）</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3.6万元/年（3年）、180㎡左右住房一套</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理工：300-500万元</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社科：150-300万元</w:t>
            </w:r>
          </w:p>
        </w:tc>
        <w:tc>
          <w:tcPr>
            <w:tcW w:w="33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年薪100万元</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p>
        </w:tc>
      </w:tr>
      <w:tr>
        <w:tblPrEx>
          <w:tblLayout w:type="fixed"/>
          <w:tblCellMar>
            <w:top w:w="15" w:type="dxa"/>
            <w:left w:w="15" w:type="dxa"/>
            <w:bottom w:w="15" w:type="dxa"/>
            <w:right w:w="15" w:type="dxa"/>
          </w:tblCellMar>
        </w:tblPrEx>
        <w:trPr>
          <w:trHeight w:val="630" w:hRule="atLeast"/>
          <w:jc w:val="center"/>
        </w:trPr>
        <w:tc>
          <w:tcPr>
            <w:tcW w:w="4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color w:val="000000"/>
                <w:sz w:val="20"/>
                <w:szCs w:val="20"/>
              </w:rPr>
            </w:pPr>
          </w:p>
        </w:tc>
        <w:tc>
          <w:tcPr>
            <w:tcW w:w="1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三类人才</w:t>
            </w:r>
          </w:p>
        </w:tc>
        <w:tc>
          <w:tcPr>
            <w:tcW w:w="9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95万元（其中安家费15万元）</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3万元/年（3年）、138㎡左右住房一套</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理工：100-200万元</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社科：50-100万元</w:t>
            </w:r>
          </w:p>
        </w:tc>
        <w:tc>
          <w:tcPr>
            <w:tcW w:w="33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年薪50-70万元</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p>
        </w:tc>
      </w:tr>
      <w:tr>
        <w:tblPrEx>
          <w:tblLayout w:type="fixed"/>
          <w:tblCellMar>
            <w:top w:w="15" w:type="dxa"/>
            <w:left w:w="15" w:type="dxa"/>
            <w:bottom w:w="15" w:type="dxa"/>
            <w:right w:w="15" w:type="dxa"/>
          </w:tblCellMar>
        </w:tblPrEx>
        <w:trPr>
          <w:trHeight w:val="825" w:hRule="atLeast"/>
          <w:jc w:val="center"/>
        </w:trPr>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color w:val="000000"/>
                <w:sz w:val="20"/>
                <w:szCs w:val="20"/>
              </w:rPr>
            </w:pPr>
            <w:r>
              <w:rPr>
                <w:rFonts w:hint="eastAsia" w:ascii="宋体" w:hAnsi="宋体" w:eastAsia="宋体" w:cs="宋体"/>
                <w:b/>
                <w:color w:val="000000"/>
                <w:kern w:val="0"/>
                <w:sz w:val="20"/>
                <w:szCs w:val="20"/>
              </w:rPr>
              <w:t>学科学术骨干</w:t>
            </w:r>
          </w:p>
        </w:tc>
        <w:tc>
          <w:tcPr>
            <w:tcW w:w="1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四类人才</w:t>
            </w:r>
          </w:p>
        </w:tc>
        <w:tc>
          <w:tcPr>
            <w:tcW w:w="9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65-70万元（其中安家费5-10万元）</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1.8万元/年（3年）或三年期过渡住房一套</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理工：10-30万元</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社科：5-15万元</w:t>
            </w:r>
          </w:p>
        </w:tc>
        <w:tc>
          <w:tcPr>
            <w:tcW w:w="33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按规定享受学校同等人员相应待遇或根据目标任务一事一议（含年薪制）。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符合学校相关规定，安置配偶工作。</w:t>
            </w:r>
          </w:p>
        </w:tc>
      </w:tr>
      <w:tr>
        <w:tblPrEx>
          <w:tblLayout w:type="fixed"/>
          <w:tblCellMar>
            <w:top w:w="15" w:type="dxa"/>
            <w:left w:w="15" w:type="dxa"/>
            <w:bottom w:w="15" w:type="dxa"/>
            <w:right w:w="15" w:type="dxa"/>
          </w:tblCellMar>
        </w:tblPrEx>
        <w:trPr>
          <w:trHeight w:val="780" w:hRule="atLeast"/>
          <w:jc w:val="center"/>
        </w:trPr>
        <w:tc>
          <w:tcPr>
            <w:tcW w:w="4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color w:val="000000"/>
                <w:kern w:val="0"/>
                <w:sz w:val="20"/>
                <w:szCs w:val="20"/>
              </w:rPr>
            </w:pPr>
          </w:p>
          <w:p>
            <w:pPr>
              <w:widowControl/>
              <w:jc w:val="center"/>
              <w:textAlignment w:val="center"/>
              <w:rPr>
                <w:rFonts w:ascii="宋体" w:hAnsi="宋体" w:eastAsia="宋体" w:cs="宋体"/>
                <w:b/>
                <w:color w:val="000000"/>
                <w:kern w:val="0"/>
                <w:sz w:val="20"/>
                <w:szCs w:val="20"/>
              </w:rPr>
            </w:pPr>
          </w:p>
          <w:p>
            <w:pPr>
              <w:widowControl/>
              <w:jc w:val="center"/>
              <w:textAlignment w:val="center"/>
              <w:rPr>
                <w:rFonts w:ascii="宋体" w:hAnsi="宋体" w:eastAsia="宋体" w:cs="宋体"/>
                <w:b/>
                <w:color w:val="000000"/>
                <w:kern w:val="0"/>
                <w:sz w:val="20"/>
                <w:szCs w:val="20"/>
              </w:rPr>
            </w:pPr>
          </w:p>
          <w:p>
            <w:pPr>
              <w:widowControl/>
              <w:textAlignment w:val="center"/>
              <w:rPr>
                <w:rFonts w:ascii="宋体" w:hAnsi="宋体" w:eastAsia="宋体" w:cs="宋体"/>
                <w:b/>
                <w:color w:val="000000"/>
                <w:kern w:val="0"/>
                <w:sz w:val="20"/>
                <w:szCs w:val="20"/>
              </w:rPr>
            </w:pPr>
          </w:p>
          <w:p>
            <w:pPr>
              <w:widowControl/>
              <w:jc w:val="center"/>
              <w:textAlignment w:val="center"/>
              <w:rPr>
                <w:rFonts w:ascii="宋体" w:hAnsi="宋体" w:eastAsia="宋体" w:cs="宋体"/>
                <w:b/>
                <w:color w:val="000000"/>
                <w:sz w:val="20"/>
                <w:szCs w:val="20"/>
              </w:rPr>
            </w:pPr>
            <w:r>
              <w:rPr>
                <w:rFonts w:hint="eastAsia" w:ascii="宋体" w:hAnsi="宋体" w:eastAsia="宋体" w:cs="宋体"/>
                <w:b/>
                <w:color w:val="000000"/>
                <w:kern w:val="0"/>
                <w:sz w:val="20"/>
                <w:szCs w:val="20"/>
              </w:rPr>
              <w:t>专任</w:t>
            </w:r>
            <w:r>
              <w:rPr>
                <w:rFonts w:hint="eastAsia" w:ascii="宋体" w:hAnsi="宋体" w:eastAsia="宋体" w:cs="宋体"/>
                <w:b/>
                <w:color w:val="000000"/>
                <w:kern w:val="0"/>
                <w:sz w:val="20"/>
                <w:szCs w:val="20"/>
              </w:rPr>
              <w:br w:type="textWrapping"/>
            </w:r>
            <w:r>
              <w:rPr>
                <w:rFonts w:hint="eastAsia" w:ascii="宋体" w:hAnsi="宋体" w:eastAsia="宋体" w:cs="宋体"/>
                <w:b/>
                <w:color w:val="000000"/>
                <w:kern w:val="0"/>
                <w:sz w:val="20"/>
                <w:szCs w:val="20"/>
              </w:rPr>
              <w:t>教师</w:t>
            </w:r>
          </w:p>
        </w:tc>
        <w:tc>
          <w:tcPr>
            <w:tcW w:w="1463" w:type="dxa"/>
            <w:gridSpan w:val="2"/>
            <w:tcBorders>
              <w:top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教授、具有博士学位的副教授</w:t>
            </w:r>
          </w:p>
        </w:tc>
        <w:tc>
          <w:tcPr>
            <w:tcW w:w="9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48-65万元（其中安家费8-15万元）</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1.44万元/年（3年)或三年期过渡住房一套</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理工：10-12万元</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社科：6-8万元</w:t>
            </w:r>
          </w:p>
        </w:tc>
        <w:tc>
          <w:tcPr>
            <w:tcW w:w="33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按规定享受学校相应待遇（包括学科骨干津贴600元/月，2年）或根据目标任务一事一议（含年薪制）。</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20"/>
                <w:szCs w:val="20"/>
              </w:rPr>
            </w:pPr>
          </w:p>
          <w:p>
            <w:pPr>
              <w:widowControl/>
              <w:jc w:val="left"/>
              <w:textAlignment w:val="center"/>
              <w:rPr>
                <w:rFonts w:ascii="宋体" w:hAnsi="宋体" w:eastAsia="宋体" w:cs="宋体"/>
                <w:color w:val="000000"/>
                <w:kern w:val="0"/>
                <w:sz w:val="20"/>
                <w:szCs w:val="20"/>
              </w:rPr>
            </w:pPr>
          </w:p>
          <w:p>
            <w:pPr>
              <w:widowControl/>
              <w:jc w:val="left"/>
              <w:textAlignment w:val="center"/>
              <w:rPr>
                <w:rFonts w:ascii="宋体" w:hAnsi="宋体" w:eastAsia="宋体" w:cs="宋体"/>
                <w:color w:val="000000"/>
                <w:kern w:val="0"/>
                <w:sz w:val="20"/>
                <w:szCs w:val="20"/>
              </w:rPr>
            </w:pPr>
          </w:p>
          <w:p>
            <w:pPr>
              <w:widowControl/>
              <w:jc w:val="left"/>
              <w:textAlignment w:val="center"/>
              <w:rPr>
                <w:rFonts w:ascii="宋体" w:hAnsi="宋体" w:eastAsia="宋体" w:cs="宋体"/>
                <w:color w:val="000000"/>
                <w:kern w:val="0"/>
                <w:sz w:val="20"/>
                <w:szCs w:val="20"/>
              </w:rPr>
            </w:pPr>
          </w:p>
          <w:p>
            <w:pPr>
              <w:widowControl/>
              <w:jc w:val="left"/>
              <w:textAlignment w:val="center"/>
              <w:rPr>
                <w:rFonts w:ascii="宋体" w:hAnsi="宋体" w:eastAsia="宋体" w:cs="宋体"/>
                <w:color w:val="000000"/>
                <w:kern w:val="0"/>
                <w:sz w:val="20"/>
                <w:szCs w:val="20"/>
              </w:rPr>
            </w:pPr>
          </w:p>
          <w:p>
            <w:pPr>
              <w:widowControl/>
              <w:jc w:val="left"/>
              <w:textAlignment w:val="center"/>
              <w:rPr>
                <w:rFonts w:ascii="宋体" w:hAnsi="宋体" w:eastAsia="宋体" w:cs="宋体"/>
                <w:color w:val="000000"/>
                <w:kern w:val="0"/>
                <w:sz w:val="20"/>
                <w:szCs w:val="20"/>
              </w:rPr>
            </w:pPr>
          </w:p>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1.具有硕士研究生及以上学历学位，35周岁以下，经考核合格，可安置配偶工作（含人事代理）；</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2.符合调动条件的，按规定报主管部门审批；</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3.具有全日制本科学历，可以合约形式安置，前5年以劳务派遣方式编外聘用，若引进人才首聘期考核合格且配偶表现优异，可按规定转为人事代理方式聘用（享受在编同等人员经济待遇）。</w:t>
            </w:r>
          </w:p>
        </w:tc>
      </w:tr>
      <w:tr>
        <w:tblPrEx>
          <w:tblLayout w:type="fixed"/>
          <w:tblCellMar>
            <w:top w:w="15" w:type="dxa"/>
            <w:left w:w="15" w:type="dxa"/>
            <w:bottom w:w="15" w:type="dxa"/>
            <w:right w:w="15" w:type="dxa"/>
          </w:tblCellMar>
        </w:tblPrEx>
        <w:trPr>
          <w:trHeight w:val="360" w:hRule="atLeast"/>
          <w:jc w:val="center"/>
        </w:trPr>
        <w:tc>
          <w:tcPr>
            <w:tcW w:w="4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color w:val="000000"/>
                <w:sz w:val="20"/>
                <w:szCs w:val="20"/>
              </w:rPr>
            </w:pPr>
          </w:p>
        </w:tc>
        <w:tc>
          <w:tcPr>
            <w:tcW w:w="801" w:type="dxa"/>
            <w:vMerge w:val="restart"/>
            <w:tcBorders>
              <w:top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博士研究生、大型企业或研究院成就突出的具有硕士研究生学历学位的高级管理或工程技术人员</w:t>
            </w:r>
          </w:p>
        </w:tc>
        <w:tc>
          <w:tcPr>
            <w:tcW w:w="662" w:type="dxa"/>
            <w:vMerge w:val="restart"/>
            <w:tcBorders>
              <w:top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一档：理工类发表一类科研论文3篇（社科类二类以上4篇）</w:t>
            </w:r>
          </w:p>
        </w:tc>
        <w:tc>
          <w:tcPr>
            <w:tcW w:w="5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55万元</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（其中安家费12万元）</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博士立项建设/支撑学科引进的优秀人才另增加购房补贴10万元</w:t>
            </w:r>
          </w:p>
        </w:tc>
        <w:tc>
          <w:tcPr>
            <w:tcW w:w="7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1.2万元/年（3年）或三年期过渡住房一套</w:t>
            </w:r>
          </w:p>
        </w:tc>
        <w:tc>
          <w:tcPr>
            <w:tcW w:w="7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理工：10万元</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社科：6万元</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基础待遇</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浮动待遇</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目标待遇</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r>
      <w:tr>
        <w:tblPrEx>
          <w:tblLayout w:type="fixed"/>
          <w:tblCellMar>
            <w:top w:w="15" w:type="dxa"/>
            <w:left w:w="15" w:type="dxa"/>
            <w:bottom w:w="15" w:type="dxa"/>
            <w:right w:w="15" w:type="dxa"/>
          </w:tblCellMar>
        </w:tblPrEx>
        <w:trPr>
          <w:trHeight w:val="1710" w:hRule="atLeast"/>
          <w:jc w:val="center"/>
        </w:trPr>
        <w:tc>
          <w:tcPr>
            <w:tcW w:w="4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color w:val="000000"/>
                <w:sz w:val="20"/>
                <w:szCs w:val="20"/>
              </w:rPr>
            </w:pPr>
          </w:p>
        </w:tc>
        <w:tc>
          <w:tcPr>
            <w:tcW w:w="801"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p>
        </w:tc>
        <w:tc>
          <w:tcPr>
            <w:tcW w:w="662" w:type="dxa"/>
            <w:vMerge w:val="continue"/>
            <w:tcBorders>
              <w:top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p>
        </w:tc>
        <w:tc>
          <w:tcPr>
            <w:tcW w:w="7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p>
        </w:tc>
        <w:tc>
          <w:tcPr>
            <w:tcW w:w="7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after="20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1.享受副教授工资待遇3年，3年后按实际职称享受相应待遇；</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2.享受学校相应教学科研奖励；</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3.按规定享受芜湖市人才补贴1.2万/年（3年）</w:t>
            </w:r>
          </w:p>
        </w:tc>
        <w:tc>
          <w:tcPr>
            <w:tcW w:w="10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1.近4年，在影响因子一区的期刊上发表论文1篇及以上的，增加购房补贴2万元（若为高被引论文，增加5万元）。</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2.业绩超过一档条件的，理工类每增加1篇一类论文（社科类二类及以上，不含会议论文）增加购房补贴2万元；</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3.具有1年及以上国外学习或工作经历的增加购房补贴10万元。</w:t>
            </w:r>
          </w:p>
        </w:tc>
        <w:tc>
          <w:tcPr>
            <w:tcW w:w="1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首聘期内，以安徽工程大学为第一单位在影响因子一区的期刊上发表论文1篇及以上或单篇论文影响因子10.0以上，或主持二类科研项目1项及以上，或获二类科研奖励一等奖（前3名）以上，增加购房补贴5万元（目标完成后发放）。</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r>
      <w:tr>
        <w:tblPrEx>
          <w:tblLayout w:type="fixed"/>
          <w:tblCellMar>
            <w:top w:w="15" w:type="dxa"/>
            <w:left w:w="15" w:type="dxa"/>
            <w:bottom w:w="15" w:type="dxa"/>
            <w:right w:w="15" w:type="dxa"/>
          </w:tblCellMar>
        </w:tblPrEx>
        <w:trPr>
          <w:trHeight w:val="2146" w:hRule="atLeast"/>
          <w:jc w:val="center"/>
        </w:trPr>
        <w:tc>
          <w:tcPr>
            <w:tcW w:w="4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color w:val="000000"/>
                <w:sz w:val="20"/>
                <w:szCs w:val="20"/>
              </w:rPr>
            </w:pPr>
          </w:p>
        </w:tc>
        <w:tc>
          <w:tcPr>
            <w:tcW w:w="801"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p>
        </w:tc>
        <w:tc>
          <w:tcPr>
            <w:tcW w:w="662" w:type="dxa"/>
            <w:tcBorders>
              <w:top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二档：理工类发表一类科研论文2篇（社科类二类以上3篇）</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48万</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（其中安家费10万元）</w:t>
            </w: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p>
        </w:tc>
        <w:tc>
          <w:tcPr>
            <w:tcW w:w="7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理工：9万元</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社科：5万元</w:t>
            </w:r>
          </w:p>
        </w:tc>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10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r>
      <w:tr>
        <w:tblPrEx>
          <w:tblLayout w:type="fixed"/>
          <w:tblCellMar>
            <w:top w:w="15" w:type="dxa"/>
            <w:left w:w="15" w:type="dxa"/>
            <w:bottom w:w="15" w:type="dxa"/>
            <w:right w:w="15" w:type="dxa"/>
          </w:tblCellMar>
        </w:tblPrEx>
        <w:trPr>
          <w:trHeight w:val="1381" w:hRule="atLeast"/>
          <w:jc w:val="center"/>
        </w:trPr>
        <w:tc>
          <w:tcPr>
            <w:tcW w:w="4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color w:val="000000"/>
                <w:sz w:val="20"/>
                <w:szCs w:val="20"/>
              </w:rPr>
            </w:pPr>
          </w:p>
        </w:tc>
        <w:tc>
          <w:tcPr>
            <w:tcW w:w="801"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p>
        </w:tc>
        <w:tc>
          <w:tcPr>
            <w:tcW w:w="662" w:type="dxa"/>
            <w:tcBorders>
              <w:top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三档：一类科研论文1篇或二类以上2篇</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41万元</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（其中安家费8万）</w:t>
            </w: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p>
        </w:tc>
        <w:tc>
          <w:tcPr>
            <w:tcW w:w="7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理工：8万元</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社科：4万元</w:t>
            </w:r>
          </w:p>
        </w:tc>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10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r>
      <w:tr>
        <w:tblPrEx>
          <w:tblLayout w:type="fixed"/>
          <w:tblCellMar>
            <w:top w:w="15" w:type="dxa"/>
            <w:left w:w="15" w:type="dxa"/>
            <w:bottom w:w="15" w:type="dxa"/>
            <w:right w:w="15" w:type="dxa"/>
          </w:tblCellMar>
        </w:tblPrEx>
        <w:trPr>
          <w:trHeight w:val="405" w:hRule="atLeast"/>
          <w:jc w:val="center"/>
        </w:trPr>
        <w:tc>
          <w:tcPr>
            <w:tcW w:w="4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color w:val="000000"/>
                <w:sz w:val="20"/>
                <w:szCs w:val="20"/>
              </w:rPr>
            </w:pPr>
          </w:p>
        </w:tc>
        <w:tc>
          <w:tcPr>
            <w:tcW w:w="1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color w:val="000000"/>
                <w:sz w:val="20"/>
                <w:szCs w:val="20"/>
              </w:rPr>
            </w:pPr>
            <w:r>
              <w:rPr>
                <w:rFonts w:hint="eastAsia" w:ascii="宋体" w:hAnsi="宋体" w:eastAsia="宋体" w:cs="宋体"/>
                <w:b/>
                <w:color w:val="000000"/>
                <w:kern w:val="0"/>
                <w:sz w:val="20"/>
                <w:szCs w:val="20"/>
              </w:rPr>
              <w:t>硕士研究生</w:t>
            </w:r>
          </w:p>
        </w:tc>
        <w:tc>
          <w:tcPr>
            <w:tcW w:w="724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租房补贴300元/月（3年）</w:t>
            </w:r>
          </w:p>
        </w:tc>
      </w:tr>
      <w:tr>
        <w:tblPrEx>
          <w:tblLayout w:type="fixed"/>
          <w:tblCellMar>
            <w:top w:w="15" w:type="dxa"/>
            <w:left w:w="15" w:type="dxa"/>
            <w:bottom w:w="15" w:type="dxa"/>
            <w:right w:w="15" w:type="dxa"/>
          </w:tblCellMar>
        </w:tblPrEx>
        <w:trPr>
          <w:trHeight w:val="915" w:hRule="atLeast"/>
          <w:jc w:val="center"/>
        </w:trPr>
        <w:tc>
          <w:tcPr>
            <w:tcW w:w="9133" w:type="dxa"/>
            <w:gridSpan w:val="11"/>
            <w:tcBorders>
              <w:top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备注：1.以上引进的人才，均给予省直事业单位编制；其中，具有博士学位的高层次人才，配备工作电脑一台。2.论文（不含会议论文）、科研项目等级别划分按照安徽省职称评审文件有关规定执行。3.少数因工作需要、不符合编内条件招聘的人员实行人事代理方式聘用。</w:t>
            </w:r>
          </w:p>
        </w:tc>
      </w:tr>
    </w:tbl>
    <w:p>
      <w:pPr>
        <w:widowControl/>
        <w:spacing w:line="580" w:lineRule="exact"/>
        <w:ind w:firstLine="560" w:firstLineChars="200"/>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2.其他</w:t>
      </w:r>
    </w:p>
    <w:p>
      <w:pPr>
        <w:widowControl/>
        <w:spacing w:line="58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(1)</w:t>
      </w:r>
      <w:r>
        <w:rPr>
          <w:rFonts w:hint="eastAsia" w:asciiTheme="minorEastAsia" w:hAnsiTheme="minorEastAsia"/>
          <w:color w:val="000000"/>
          <w:sz w:val="22"/>
        </w:rPr>
        <w:t xml:space="preserve"> </w:t>
      </w:r>
      <w:r>
        <w:rPr>
          <w:rFonts w:hint="eastAsia" w:ascii="仿宋_GB2312" w:eastAsia="仿宋_GB2312"/>
          <w:color w:val="000000"/>
          <w:sz w:val="28"/>
          <w:szCs w:val="28"/>
        </w:rPr>
        <w:t>学校重点学科急需引进的优秀人才且成果突出的，可一事一议，提供具有竞争力的薪酬待遇。符合柔性引进的，可以中江“讲座教授”方式来校工作。充分发挥高层次人才的凝聚作用,实施重要岗位国内外公开招聘。</w:t>
      </w:r>
    </w:p>
    <w:p>
      <w:pPr>
        <w:widowControl/>
        <w:spacing w:line="58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 xml:space="preserve">(2)购房补贴与安家费均为税后，正式报到入职后按规定一次性转入人才账户。首聘期内（5年），发放总额的30%，余下70%以人才借款的方式发放，服务满10年后方可完全享受。学科建设与科研启动经费以资助项目形式下达。  </w:t>
      </w:r>
      <w:r>
        <w:rPr>
          <w:rFonts w:hint="eastAsia" w:ascii="仿宋_GB2312" w:eastAsia="仿宋_GB2312"/>
          <w:color w:val="000000"/>
          <w:sz w:val="28"/>
          <w:szCs w:val="28"/>
        </w:rPr>
        <w:br w:type="textWrapping"/>
      </w:r>
      <w:r>
        <w:rPr>
          <w:rFonts w:hint="eastAsia" w:ascii="仿宋_GB2312" w:eastAsia="仿宋_GB2312"/>
          <w:color w:val="000000"/>
          <w:sz w:val="28"/>
          <w:szCs w:val="28"/>
        </w:rPr>
        <w:t xml:space="preserve">    (3)引进人才配偶安置由所在用人单位提出初步意见，报学校研究。人才调离学校或解除夫妻关系，其配偶应同时与学校解除人事关系。本公告中专任教师配偶由学校安排工作的，人才购房补贴降低20%。学校协助解决人才随迁子女的入托入学问题。</w:t>
      </w:r>
    </w:p>
    <w:p>
      <w:pPr>
        <w:widowControl/>
        <w:spacing w:line="58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(4)对于引进海外高层次人才和急需紧缺人才专业技术职务评审实行绿色通道，具体按照学校及省主管部门有关规定执行。</w:t>
      </w:r>
      <w:r>
        <w:rPr>
          <w:rFonts w:hint="eastAsia" w:ascii="仿宋_GB2312" w:eastAsia="仿宋_GB2312"/>
          <w:color w:val="000000"/>
          <w:sz w:val="28"/>
          <w:szCs w:val="28"/>
        </w:rPr>
        <w:br w:type="textWrapping"/>
      </w:r>
      <w:r>
        <w:rPr>
          <w:rFonts w:hint="eastAsia" w:ascii="仿宋_GB2312" w:eastAsia="仿宋_GB2312"/>
          <w:color w:val="000000"/>
          <w:sz w:val="28"/>
          <w:szCs w:val="28"/>
        </w:rPr>
        <w:t xml:space="preserve">    (5)对研究方向明确、具备良好学术潜力的在读博士一年级及以上研究生，可与学校签署定向培养协议，学校发放生活补贴（4000元左右/月，以借款的方式发放，服务满10年后方可完全享受），毕业后按当年政策引进，具体以协议约定为准。对通过学位论文答辩的应届博士研究生，可提前来校工作。   </w:t>
      </w:r>
    </w:p>
    <w:p>
      <w:pPr>
        <w:widowControl/>
        <w:spacing w:line="580" w:lineRule="exact"/>
        <w:ind w:firstLine="560" w:firstLineChars="200"/>
        <w:rPr>
          <w:rFonts w:hint="eastAsia" w:ascii="仿宋_GB2312" w:eastAsia="仿宋_GB2312"/>
          <w:color w:val="000000"/>
          <w:sz w:val="28"/>
          <w:szCs w:val="28"/>
        </w:rPr>
      </w:pPr>
      <w:r>
        <w:rPr>
          <w:rFonts w:hint="eastAsia" w:ascii="仿宋_GB2312" w:eastAsia="仿宋_GB2312"/>
          <w:color w:val="000000"/>
          <w:sz w:val="28"/>
          <w:szCs w:val="28"/>
        </w:rPr>
        <w:t>(6)各学院可依据相关学科、科研平台及项目经费，给予引进人才配套一定的科研启动经费；报销人才来校面试考核差旅费用。</w:t>
      </w:r>
    </w:p>
    <w:p>
      <w:pPr>
        <w:widowControl/>
        <w:spacing w:line="580" w:lineRule="exact"/>
        <w:ind w:firstLine="560" w:firstLineChars="200"/>
        <w:rPr>
          <w:rFonts w:hint="eastAsia" w:ascii="仿宋_GB2312" w:eastAsia="仿宋_GB2312"/>
          <w:color w:val="000000"/>
          <w:sz w:val="28"/>
          <w:szCs w:val="28"/>
        </w:rPr>
      </w:pPr>
    </w:p>
    <w:p>
      <w:pPr>
        <w:widowControl/>
        <w:spacing w:line="580" w:lineRule="exact"/>
        <w:ind w:firstLine="560" w:firstLineChars="200"/>
        <w:rPr>
          <w:rFonts w:hint="eastAsia" w:ascii="仿宋_GB2312" w:eastAsia="仿宋_GB2312"/>
          <w:color w:val="000000"/>
          <w:sz w:val="28"/>
          <w:szCs w:val="28"/>
        </w:rPr>
      </w:pPr>
    </w:p>
    <w:p>
      <w:pPr>
        <w:widowControl/>
        <w:spacing w:line="580" w:lineRule="exact"/>
        <w:ind w:firstLine="560" w:firstLineChars="200"/>
        <w:rPr>
          <w:rFonts w:hint="eastAsia" w:ascii="仿宋_GB2312" w:eastAsia="仿宋_GB2312"/>
          <w:color w:val="000000"/>
          <w:sz w:val="28"/>
          <w:szCs w:val="28"/>
        </w:rPr>
      </w:pPr>
    </w:p>
    <w:p>
      <w:pPr>
        <w:ind w:left="862"/>
        <w:jc w:val="left"/>
        <w:rPr>
          <w:rFonts w:ascii="仿宋_GB2312" w:eastAsia="仿宋_GB2312"/>
          <w:b/>
          <w:bCs/>
          <w:sz w:val="32"/>
          <w:szCs w:val="32"/>
        </w:rPr>
      </w:pPr>
      <w:r>
        <w:rPr>
          <w:rFonts w:hint="eastAsia" w:ascii="仿宋_GB2312" w:eastAsia="仿宋_GB2312"/>
          <w:b/>
          <w:bCs/>
          <w:sz w:val="32"/>
          <w:szCs w:val="32"/>
        </w:rPr>
        <w:t>招聘计划</w:t>
      </w:r>
    </w:p>
    <w:tbl>
      <w:tblPr>
        <w:tblStyle w:val="15"/>
        <w:tblW w:w="86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981"/>
        <w:gridCol w:w="1056"/>
        <w:gridCol w:w="3507"/>
        <w:gridCol w:w="31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581" w:hRule="atLeast"/>
        </w:trPr>
        <w:tc>
          <w:tcPr>
            <w:tcW w:w="981" w:type="dxa"/>
            <w:shd w:val="clear" w:color="auto" w:fill="auto"/>
            <w:vAlign w:val="center"/>
          </w:tcPr>
          <w:p>
            <w:pPr>
              <w:widowControl/>
              <w:jc w:val="center"/>
              <w:textAlignment w:val="center"/>
              <w:rPr>
                <w:rFonts w:ascii="仿宋_GB2312" w:hAnsi="宋体" w:eastAsia="仿宋_GB2312" w:cs="宋体"/>
                <w:b/>
                <w:color w:val="000000"/>
                <w:kern w:val="0"/>
                <w:sz w:val="24"/>
                <w:szCs w:val="24"/>
              </w:rPr>
            </w:pPr>
            <w:r>
              <w:rPr>
                <w:rFonts w:hint="eastAsia" w:ascii="仿宋_GB2312" w:hAnsi="宋体" w:eastAsia="仿宋_GB2312" w:cs="宋体"/>
                <w:b/>
                <w:color w:val="000000"/>
                <w:kern w:val="0"/>
                <w:sz w:val="24"/>
                <w:szCs w:val="24"/>
              </w:rPr>
              <w:t>用人</w:t>
            </w:r>
          </w:p>
          <w:p>
            <w:pPr>
              <w:widowControl/>
              <w:jc w:val="center"/>
              <w:textAlignment w:val="center"/>
              <w:rPr>
                <w:rFonts w:ascii="仿宋_GB2312" w:hAnsi="宋体" w:eastAsia="仿宋_GB2312" w:cs="宋体"/>
                <w:b/>
                <w:color w:val="000000"/>
                <w:sz w:val="24"/>
                <w:szCs w:val="24"/>
              </w:rPr>
            </w:pPr>
            <w:r>
              <w:rPr>
                <w:rFonts w:hint="eastAsia" w:ascii="仿宋_GB2312" w:hAnsi="宋体" w:eastAsia="仿宋_GB2312" w:cs="宋体"/>
                <w:b/>
                <w:color w:val="000000"/>
                <w:kern w:val="0"/>
                <w:sz w:val="24"/>
                <w:szCs w:val="24"/>
              </w:rPr>
              <w:t>单位</w:t>
            </w:r>
          </w:p>
        </w:tc>
        <w:tc>
          <w:tcPr>
            <w:tcW w:w="1056" w:type="dxa"/>
            <w:shd w:val="clear" w:color="auto" w:fill="auto"/>
            <w:vAlign w:val="center"/>
          </w:tcPr>
          <w:p>
            <w:pPr>
              <w:widowControl/>
              <w:jc w:val="center"/>
              <w:textAlignment w:val="center"/>
              <w:rPr>
                <w:rFonts w:ascii="仿宋_GB2312" w:hAnsi="宋体" w:eastAsia="仿宋_GB2312" w:cs="宋体"/>
                <w:b/>
                <w:color w:val="000000"/>
                <w:sz w:val="24"/>
                <w:szCs w:val="24"/>
              </w:rPr>
            </w:pPr>
            <w:r>
              <w:rPr>
                <w:rFonts w:hint="eastAsia" w:ascii="仿宋_GB2312" w:hAnsi="宋体" w:eastAsia="仿宋_GB2312" w:cs="宋体"/>
                <w:b/>
                <w:color w:val="000000"/>
                <w:kern w:val="0"/>
                <w:sz w:val="24"/>
                <w:szCs w:val="24"/>
              </w:rPr>
              <w:t>岗位</w:t>
            </w:r>
          </w:p>
        </w:tc>
        <w:tc>
          <w:tcPr>
            <w:tcW w:w="3507" w:type="dxa"/>
            <w:shd w:val="clear" w:color="auto" w:fill="auto"/>
            <w:vAlign w:val="center"/>
          </w:tcPr>
          <w:p>
            <w:pPr>
              <w:widowControl/>
              <w:jc w:val="center"/>
              <w:textAlignment w:val="center"/>
              <w:rPr>
                <w:rFonts w:ascii="仿宋_GB2312" w:hAnsi="宋体" w:eastAsia="仿宋_GB2312" w:cs="宋体"/>
                <w:b/>
                <w:color w:val="000000"/>
                <w:sz w:val="24"/>
                <w:szCs w:val="24"/>
              </w:rPr>
            </w:pPr>
            <w:r>
              <w:rPr>
                <w:rFonts w:hint="eastAsia" w:ascii="仿宋_GB2312" w:hAnsi="宋体" w:eastAsia="仿宋_GB2312" w:cs="宋体"/>
                <w:b/>
                <w:color w:val="000000"/>
                <w:kern w:val="0"/>
                <w:sz w:val="24"/>
                <w:szCs w:val="24"/>
              </w:rPr>
              <w:t>学科专业</w:t>
            </w:r>
          </w:p>
        </w:tc>
        <w:tc>
          <w:tcPr>
            <w:tcW w:w="3118" w:type="dxa"/>
            <w:shd w:val="clear" w:color="auto" w:fill="auto"/>
            <w:vAlign w:val="center"/>
          </w:tcPr>
          <w:p>
            <w:pPr>
              <w:widowControl/>
              <w:jc w:val="center"/>
              <w:textAlignment w:val="center"/>
              <w:rPr>
                <w:rFonts w:ascii="仿宋_GB2312" w:hAnsi="宋体" w:eastAsia="仿宋_GB2312" w:cs="宋体"/>
                <w:b/>
                <w:color w:val="000000"/>
                <w:sz w:val="24"/>
                <w:szCs w:val="24"/>
              </w:rPr>
            </w:pPr>
            <w:r>
              <w:rPr>
                <w:rFonts w:hint="eastAsia" w:ascii="仿宋_GB2312" w:hAnsi="宋体" w:eastAsia="仿宋_GB2312" w:cs="宋体"/>
                <w:b/>
                <w:color w:val="000000"/>
                <w:kern w:val="0"/>
                <w:sz w:val="24"/>
                <w:szCs w:val="24"/>
              </w:rPr>
              <w:t>学位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581" w:hRule="atLeast"/>
        </w:trPr>
        <w:tc>
          <w:tcPr>
            <w:tcW w:w="981" w:type="dxa"/>
            <w:shd w:val="clear" w:color="auto" w:fill="auto"/>
            <w:vAlign w:val="center"/>
          </w:tcPr>
          <w:p>
            <w:pPr>
              <w:widowControl/>
              <w:jc w:val="center"/>
              <w:textAlignment w:val="center"/>
              <w:rPr>
                <w:rFonts w:ascii="仿宋_GB2312" w:hAnsi="宋体" w:eastAsia="仿宋_GB2312" w:cs="宋体"/>
                <w:color w:val="000000"/>
                <w:kern w:val="0"/>
                <w:sz w:val="24"/>
                <w:szCs w:val="24"/>
              </w:rPr>
            </w:pPr>
          </w:p>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机械与汽车工程学院</w:t>
            </w:r>
          </w:p>
        </w:tc>
        <w:tc>
          <w:tcPr>
            <w:tcW w:w="1056"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教学科研</w:t>
            </w:r>
          </w:p>
        </w:tc>
        <w:tc>
          <w:tcPr>
            <w:tcW w:w="3507"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机械工程、农业工程/仪器科学与技术/控制科学与工程、计算机科学与技术/交通运输工程/材料科学与工程</w:t>
            </w:r>
          </w:p>
        </w:tc>
        <w:tc>
          <w:tcPr>
            <w:tcW w:w="3118" w:type="dxa"/>
            <w:shd w:val="clear" w:color="auto" w:fill="auto"/>
            <w:vAlign w:val="center"/>
          </w:tcPr>
          <w:p>
            <w:pPr>
              <w:jc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博士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581" w:hRule="atLeast"/>
        </w:trPr>
        <w:tc>
          <w:tcPr>
            <w:tcW w:w="981" w:type="dxa"/>
            <w:vMerge w:val="restart"/>
            <w:shd w:val="clear" w:color="auto" w:fill="auto"/>
            <w:vAlign w:val="center"/>
          </w:tcPr>
          <w:p>
            <w:pPr>
              <w:widowControl/>
              <w:spacing w:after="220"/>
              <w:jc w:val="center"/>
              <w:textAlignment w:val="center"/>
              <w:rPr>
                <w:rFonts w:ascii="仿宋_GB2312" w:hAnsi="宋体" w:eastAsia="仿宋_GB2312" w:cs="宋体"/>
                <w:color w:val="000000"/>
                <w:sz w:val="24"/>
                <w:szCs w:val="24"/>
              </w:rPr>
            </w:pPr>
            <w:r>
              <w:rPr>
                <w:rStyle w:val="17"/>
                <w:rFonts w:hint="default" w:ascii="仿宋_GB2312" w:eastAsia="仿宋_GB2312"/>
                <w:sz w:val="24"/>
                <w:szCs w:val="24"/>
              </w:rPr>
              <w:t>电气工程学院</w:t>
            </w:r>
          </w:p>
        </w:tc>
        <w:tc>
          <w:tcPr>
            <w:tcW w:w="1056" w:type="dxa"/>
            <w:vMerge w:val="restart"/>
            <w:shd w:val="clear" w:color="auto" w:fill="auto"/>
            <w:vAlign w:val="center"/>
          </w:tcPr>
          <w:p>
            <w:pPr>
              <w:widowControl/>
              <w:jc w:val="center"/>
              <w:textAlignment w:val="center"/>
              <w:rPr>
                <w:rFonts w:ascii="仿宋_GB2312" w:hAnsi="宋体" w:eastAsia="仿宋_GB2312" w:cs="宋体"/>
                <w:color w:val="000000"/>
                <w:kern w:val="0"/>
                <w:sz w:val="24"/>
                <w:szCs w:val="24"/>
              </w:rPr>
            </w:pPr>
          </w:p>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教学科研</w:t>
            </w:r>
          </w:p>
        </w:tc>
        <w:tc>
          <w:tcPr>
            <w:tcW w:w="3507"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控制科学与工程/计算机科学与技术/土木工程/光学工程/动力工程及工程热物理/电气工程/信息与通信工程</w:t>
            </w:r>
          </w:p>
        </w:tc>
        <w:tc>
          <w:tcPr>
            <w:tcW w:w="3118" w:type="dxa"/>
            <w:shd w:val="clear" w:color="auto" w:fill="auto"/>
            <w:vAlign w:val="center"/>
          </w:tcPr>
          <w:p>
            <w:pPr>
              <w:jc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博士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581" w:hRule="atLeast"/>
        </w:trPr>
        <w:tc>
          <w:tcPr>
            <w:tcW w:w="981" w:type="dxa"/>
            <w:vMerge w:val="continue"/>
            <w:shd w:val="clear" w:color="auto" w:fill="auto"/>
            <w:vAlign w:val="center"/>
          </w:tcPr>
          <w:p>
            <w:pPr>
              <w:jc w:val="center"/>
              <w:rPr>
                <w:rFonts w:ascii="仿宋_GB2312" w:hAnsi="宋体" w:eastAsia="仿宋_GB2312" w:cs="宋体"/>
                <w:color w:val="000000"/>
                <w:sz w:val="24"/>
                <w:szCs w:val="24"/>
              </w:rPr>
            </w:pPr>
          </w:p>
        </w:tc>
        <w:tc>
          <w:tcPr>
            <w:tcW w:w="1056" w:type="dxa"/>
            <w:vMerge w:val="continue"/>
            <w:shd w:val="clear" w:color="auto" w:fill="auto"/>
            <w:vAlign w:val="center"/>
          </w:tcPr>
          <w:p>
            <w:pPr>
              <w:jc w:val="center"/>
              <w:rPr>
                <w:rFonts w:ascii="仿宋_GB2312" w:hAnsi="宋体" w:eastAsia="仿宋_GB2312" w:cs="宋体"/>
                <w:color w:val="000000"/>
                <w:sz w:val="24"/>
                <w:szCs w:val="24"/>
              </w:rPr>
            </w:pPr>
          </w:p>
        </w:tc>
        <w:tc>
          <w:tcPr>
            <w:tcW w:w="3507"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电气工程/信息与通信工程</w:t>
            </w:r>
          </w:p>
        </w:tc>
        <w:tc>
          <w:tcPr>
            <w:tcW w:w="3118" w:type="dxa"/>
            <w:shd w:val="clear" w:color="auto" w:fill="auto"/>
            <w:vAlign w:val="center"/>
          </w:tcPr>
          <w:p>
            <w:pPr>
              <w:jc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硕士及以上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561" w:hRule="atLeast"/>
        </w:trPr>
        <w:tc>
          <w:tcPr>
            <w:tcW w:w="981" w:type="dxa"/>
            <w:vMerge w:val="continue"/>
            <w:shd w:val="clear" w:color="auto" w:fill="auto"/>
            <w:vAlign w:val="center"/>
          </w:tcPr>
          <w:p>
            <w:pPr>
              <w:jc w:val="center"/>
              <w:rPr>
                <w:rFonts w:ascii="仿宋_GB2312" w:hAnsi="宋体" w:eastAsia="仿宋_GB2312" w:cs="宋体"/>
                <w:color w:val="000000"/>
                <w:sz w:val="24"/>
                <w:szCs w:val="24"/>
              </w:rPr>
            </w:pPr>
          </w:p>
        </w:tc>
        <w:tc>
          <w:tcPr>
            <w:tcW w:w="1056" w:type="dxa"/>
            <w:shd w:val="clear" w:color="auto" w:fill="auto"/>
            <w:vAlign w:val="center"/>
          </w:tcPr>
          <w:p>
            <w:pPr>
              <w:widowControl/>
              <w:jc w:val="center"/>
              <w:textAlignment w:val="center"/>
              <w:rPr>
                <w:rFonts w:ascii="仿宋_GB2312" w:hAnsi="宋体" w:eastAsia="仿宋_GB2312" w:cs="宋体"/>
                <w:color w:val="000000"/>
                <w:kern w:val="0"/>
                <w:sz w:val="24"/>
                <w:szCs w:val="24"/>
              </w:rPr>
            </w:pPr>
          </w:p>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实验教学与管理</w:t>
            </w:r>
          </w:p>
        </w:tc>
        <w:tc>
          <w:tcPr>
            <w:tcW w:w="3507"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电气工程/控制科学与工程/信息与通信工程</w:t>
            </w:r>
          </w:p>
        </w:tc>
        <w:tc>
          <w:tcPr>
            <w:tcW w:w="3118" w:type="dxa"/>
            <w:shd w:val="clear" w:color="auto" w:fill="auto"/>
            <w:vAlign w:val="center"/>
          </w:tcPr>
          <w:p>
            <w:pPr>
              <w:jc w:val="center"/>
              <w:rPr>
                <w:rFonts w:ascii="仿宋_GB2312" w:hAnsi="宋体" w:eastAsia="仿宋_GB2312" w:cs="宋体"/>
                <w:color w:val="000000"/>
                <w:sz w:val="24"/>
                <w:szCs w:val="24"/>
                <w:u w:val="single"/>
              </w:rPr>
            </w:pPr>
            <w:r>
              <w:rPr>
                <w:rFonts w:hint="eastAsia" w:ascii="仿宋_GB2312" w:hAnsi="宋体" w:eastAsia="仿宋_GB2312" w:cs="宋体"/>
                <w:color w:val="000000"/>
                <w:kern w:val="0"/>
                <w:sz w:val="24"/>
                <w:szCs w:val="24"/>
              </w:rPr>
              <w:t>硕士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581" w:hRule="atLeast"/>
        </w:trPr>
        <w:tc>
          <w:tcPr>
            <w:tcW w:w="981" w:type="dxa"/>
            <w:vMerge w:val="restart"/>
            <w:shd w:val="clear" w:color="auto" w:fill="auto"/>
            <w:vAlign w:val="center"/>
          </w:tcPr>
          <w:p>
            <w:pPr>
              <w:widowControl/>
              <w:jc w:val="center"/>
              <w:textAlignment w:val="center"/>
              <w:rPr>
                <w:rFonts w:ascii="仿宋_GB2312" w:hAnsi="宋体" w:eastAsia="仿宋_GB2312" w:cs="宋体"/>
                <w:color w:val="000000"/>
                <w:kern w:val="0"/>
                <w:sz w:val="24"/>
                <w:szCs w:val="24"/>
              </w:rPr>
            </w:pPr>
          </w:p>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纺织服装学院</w:t>
            </w:r>
          </w:p>
        </w:tc>
        <w:tc>
          <w:tcPr>
            <w:tcW w:w="1056"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教学科研</w:t>
            </w:r>
          </w:p>
        </w:tc>
        <w:tc>
          <w:tcPr>
            <w:tcW w:w="3507"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纺织科学与工程、设计学</w:t>
            </w:r>
            <w:r>
              <w:rPr>
                <w:rFonts w:ascii="仿宋_GB2312" w:hAnsi="宋体" w:eastAsia="仿宋_GB2312" w:cs="宋体"/>
                <w:color w:val="000000"/>
                <w:sz w:val="24"/>
                <w:szCs w:val="24"/>
              </w:rPr>
              <w:t xml:space="preserve"> </w:t>
            </w:r>
          </w:p>
        </w:tc>
        <w:tc>
          <w:tcPr>
            <w:tcW w:w="3118" w:type="dxa"/>
            <w:shd w:val="clear" w:color="auto" w:fill="auto"/>
            <w:vAlign w:val="center"/>
          </w:tcPr>
          <w:p>
            <w:pPr>
              <w:jc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博士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581" w:hRule="atLeast"/>
        </w:trPr>
        <w:tc>
          <w:tcPr>
            <w:tcW w:w="981" w:type="dxa"/>
            <w:vMerge w:val="continue"/>
            <w:shd w:val="clear" w:color="auto" w:fill="auto"/>
            <w:vAlign w:val="center"/>
          </w:tcPr>
          <w:p>
            <w:pPr>
              <w:jc w:val="center"/>
              <w:rPr>
                <w:rFonts w:ascii="仿宋_GB2312" w:hAnsi="宋体" w:eastAsia="仿宋_GB2312" w:cs="宋体"/>
                <w:color w:val="000000"/>
                <w:sz w:val="24"/>
                <w:szCs w:val="24"/>
              </w:rPr>
            </w:pPr>
          </w:p>
        </w:tc>
        <w:tc>
          <w:tcPr>
            <w:tcW w:w="1056"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实验教学与管理</w:t>
            </w:r>
          </w:p>
        </w:tc>
        <w:tc>
          <w:tcPr>
            <w:tcW w:w="3507"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纺织科学与工程</w:t>
            </w:r>
            <w:r>
              <w:rPr>
                <w:rFonts w:ascii="仿宋_GB2312" w:hAnsi="宋体" w:eastAsia="仿宋_GB2312" w:cs="宋体"/>
                <w:color w:val="000000"/>
                <w:sz w:val="24"/>
                <w:szCs w:val="24"/>
              </w:rPr>
              <w:t xml:space="preserve"> </w:t>
            </w:r>
          </w:p>
        </w:tc>
        <w:tc>
          <w:tcPr>
            <w:tcW w:w="3118" w:type="dxa"/>
            <w:shd w:val="clear" w:color="auto" w:fill="auto"/>
            <w:vAlign w:val="center"/>
          </w:tcPr>
          <w:p>
            <w:pPr>
              <w:jc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硕士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1128" w:hRule="atLeast"/>
        </w:trPr>
        <w:tc>
          <w:tcPr>
            <w:tcW w:w="981" w:type="dxa"/>
            <w:vMerge w:val="restart"/>
            <w:shd w:val="clear" w:color="auto" w:fill="auto"/>
            <w:vAlign w:val="center"/>
          </w:tcPr>
          <w:p>
            <w:pPr>
              <w:widowControl/>
              <w:jc w:val="center"/>
              <w:textAlignment w:val="center"/>
              <w:rPr>
                <w:rFonts w:ascii="仿宋_GB2312" w:hAnsi="宋体" w:eastAsia="仿宋_GB2312" w:cs="宋体"/>
                <w:color w:val="000000"/>
                <w:kern w:val="0"/>
                <w:sz w:val="24"/>
                <w:szCs w:val="24"/>
              </w:rPr>
            </w:pPr>
          </w:p>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生物与化学工程学院</w:t>
            </w:r>
          </w:p>
        </w:tc>
        <w:tc>
          <w:tcPr>
            <w:tcW w:w="1056" w:type="dxa"/>
            <w:shd w:val="clear" w:color="auto" w:fill="auto"/>
            <w:vAlign w:val="center"/>
          </w:tcPr>
          <w:p>
            <w:pPr>
              <w:widowControl/>
              <w:jc w:val="center"/>
              <w:textAlignment w:val="center"/>
              <w:rPr>
                <w:rFonts w:ascii="仿宋_GB2312" w:hAnsi="宋体" w:eastAsia="仿宋_GB2312" w:cs="宋体"/>
                <w:color w:val="000000"/>
                <w:kern w:val="0"/>
                <w:sz w:val="24"/>
                <w:szCs w:val="24"/>
              </w:rPr>
            </w:pPr>
          </w:p>
          <w:p>
            <w:pPr>
              <w:widowControl/>
              <w:jc w:val="center"/>
              <w:textAlignment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教学科研</w:t>
            </w:r>
          </w:p>
          <w:p>
            <w:pPr>
              <w:widowControl/>
              <w:jc w:val="center"/>
              <w:textAlignment w:val="center"/>
              <w:rPr>
                <w:rFonts w:ascii="仿宋_GB2312" w:hAnsi="宋体" w:eastAsia="仿宋_GB2312" w:cs="宋体"/>
                <w:color w:val="000000"/>
                <w:sz w:val="24"/>
                <w:szCs w:val="24"/>
              </w:rPr>
            </w:pPr>
          </w:p>
        </w:tc>
        <w:tc>
          <w:tcPr>
            <w:tcW w:w="3507" w:type="dxa"/>
            <w:shd w:val="clear" w:color="auto" w:fill="FFFFFF"/>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环境科学与工程/化学工程与技术/材料学/食品科学与工程/生物工程或生物医学工程</w:t>
            </w:r>
          </w:p>
        </w:tc>
        <w:tc>
          <w:tcPr>
            <w:tcW w:w="3118"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博士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916" w:hRule="atLeast"/>
        </w:trPr>
        <w:tc>
          <w:tcPr>
            <w:tcW w:w="981" w:type="dxa"/>
            <w:vMerge w:val="continue"/>
            <w:shd w:val="clear" w:color="auto" w:fill="auto"/>
            <w:vAlign w:val="center"/>
          </w:tcPr>
          <w:p>
            <w:pPr>
              <w:jc w:val="center"/>
              <w:rPr>
                <w:rFonts w:ascii="仿宋_GB2312" w:hAnsi="宋体" w:eastAsia="仿宋_GB2312" w:cs="宋体"/>
                <w:color w:val="000000"/>
                <w:sz w:val="24"/>
                <w:szCs w:val="24"/>
              </w:rPr>
            </w:pPr>
          </w:p>
        </w:tc>
        <w:tc>
          <w:tcPr>
            <w:tcW w:w="1056"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实验教学与管理</w:t>
            </w:r>
          </w:p>
        </w:tc>
        <w:tc>
          <w:tcPr>
            <w:tcW w:w="3507"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化学</w:t>
            </w:r>
            <w:r>
              <w:rPr>
                <w:rFonts w:ascii="仿宋_GB2312" w:hAnsi="宋体" w:eastAsia="仿宋_GB2312" w:cs="宋体"/>
                <w:color w:val="000000"/>
                <w:sz w:val="24"/>
                <w:szCs w:val="24"/>
              </w:rPr>
              <w:t xml:space="preserve"> </w:t>
            </w:r>
          </w:p>
        </w:tc>
        <w:tc>
          <w:tcPr>
            <w:tcW w:w="3118"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硕士及以上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561" w:hRule="atLeast"/>
        </w:trPr>
        <w:tc>
          <w:tcPr>
            <w:tcW w:w="981" w:type="dxa"/>
            <w:vMerge w:val="restart"/>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管理工程学院</w:t>
            </w:r>
          </w:p>
        </w:tc>
        <w:tc>
          <w:tcPr>
            <w:tcW w:w="1056" w:type="dxa"/>
            <w:vMerge w:val="restart"/>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教学科研</w:t>
            </w:r>
          </w:p>
        </w:tc>
        <w:tc>
          <w:tcPr>
            <w:tcW w:w="3507" w:type="dxa"/>
            <w:vMerge w:val="restart"/>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管理科学与工程</w:t>
            </w:r>
            <w:r>
              <w:rPr>
                <w:rFonts w:ascii="仿宋_GB2312" w:hAnsi="宋体" w:eastAsia="仿宋_GB2312" w:cs="宋体"/>
                <w:color w:val="000000"/>
                <w:sz w:val="24"/>
                <w:szCs w:val="24"/>
              </w:rPr>
              <w:t xml:space="preserve"> </w:t>
            </w:r>
          </w:p>
        </w:tc>
        <w:tc>
          <w:tcPr>
            <w:tcW w:w="3118" w:type="dxa"/>
            <w:shd w:val="clear" w:color="auto" w:fill="auto"/>
            <w:vAlign w:val="center"/>
          </w:tcPr>
          <w:p>
            <w:pPr>
              <w:jc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博士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581" w:hRule="atLeast"/>
        </w:trPr>
        <w:tc>
          <w:tcPr>
            <w:tcW w:w="981" w:type="dxa"/>
            <w:vMerge w:val="continue"/>
            <w:shd w:val="clear" w:color="auto" w:fill="auto"/>
            <w:vAlign w:val="center"/>
          </w:tcPr>
          <w:p>
            <w:pPr>
              <w:jc w:val="center"/>
              <w:rPr>
                <w:rFonts w:ascii="仿宋_GB2312" w:hAnsi="宋体" w:eastAsia="仿宋_GB2312" w:cs="宋体"/>
                <w:color w:val="000000"/>
                <w:sz w:val="24"/>
                <w:szCs w:val="24"/>
              </w:rPr>
            </w:pPr>
          </w:p>
        </w:tc>
        <w:tc>
          <w:tcPr>
            <w:tcW w:w="1056" w:type="dxa"/>
            <w:vMerge w:val="continue"/>
            <w:shd w:val="clear" w:color="auto" w:fill="auto"/>
            <w:vAlign w:val="center"/>
          </w:tcPr>
          <w:p>
            <w:pPr>
              <w:jc w:val="center"/>
              <w:rPr>
                <w:rFonts w:ascii="仿宋_GB2312" w:hAnsi="宋体" w:eastAsia="仿宋_GB2312" w:cs="宋体"/>
                <w:color w:val="000000"/>
                <w:sz w:val="24"/>
                <w:szCs w:val="24"/>
              </w:rPr>
            </w:pPr>
          </w:p>
        </w:tc>
        <w:tc>
          <w:tcPr>
            <w:tcW w:w="3507" w:type="dxa"/>
            <w:vMerge w:val="continue"/>
            <w:shd w:val="clear" w:color="auto" w:fill="auto"/>
            <w:vAlign w:val="center"/>
          </w:tcPr>
          <w:p>
            <w:pPr>
              <w:jc w:val="center"/>
              <w:rPr>
                <w:rFonts w:ascii="仿宋_GB2312" w:hAnsi="宋体" w:eastAsia="仿宋_GB2312" w:cs="宋体"/>
                <w:color w:val="000000"/>
                <w:sz w:val="24"/>
                <w:szCs w:val="24"/>
              </w:rPr>
            </w:pPr>
          </w:p>
        </w:tc>
        <w:tc>
          <w:tcPr>
            <w:tcW w:w="3118"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硕士及以上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561" w:hRule="atLeast"/>
        </w:trPr>
        <w:tc>
          <w:tcPr>
            <w:tcW w:w="981" w:type="dxa"/>
            <w:vMerge w:val="continue"/>
            <w:shd w:val="clear" w:color="auto" w:fill="auto"/>
            <w:vAlign w:val="center"/>
          </w:tcPr>
          <w:p>
            <w:pPr>
              <w:jc w:val="center"/>
              <w:rPr>
                <w:rFonts w:ascii="仿宋_GB2312" w:hAnsi="宋体" w:eastAsia="仿宋_GB2312" w:cs="宋体"/>
                <w:color w:val="000000"/>
                <w:sz w:val="24"/>
                <w:szCs w:val="24"/>
              </w:rPr>
            </w:pPr>
          </w:p>
        </w:tc>
        <w:tc>
          <w:tcPr>
            <w:tcW w:w="1056" w:type="dxa"/>
            <w:vMerge w:val="continue"/>
            <w:shd w:val="clear" w:color="auto" w:fill="auto"/>
            <w:vAlign w:val="center"/>
          </w:tcPr>
          <w:p>
            <w:pPr>
              <w:jc w:val="center"/>
              <w:rPr>
                <w:rFonts w:ascii="仿宋_GB2312" w:hAnsi="宋体" w:eastAsia="仿宋_GB2312" w:cs="宋体"/>
                <w:color w:val="000000"/>
                <w:sz w:val="24"/>
                <w:szCs w:val="24"/>
              </w:rPr>
            </w:pPr>
          </w:p>
        </w:tc>
        <w:tc>
          <w:tcPr>
            <w:tcW w:w="3507"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工商管理/应用经济学、农林经济管理相关专业</w:t>
            </w:r>
          </w:p>
        </w:tc>
        <w:tc>
          <w:tcPr>
            <w:tcW w:w="3118" w:type="dxa"/>
            <w:shd w:val="clear" w:color="auto" w:fill="auto"/>
            <w:vAlign w:val="center"/>
          </w:tcPr>
          <w:p>
            <w:pPr>
              <w:jc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博士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561" w:hRule="atLeast"/>
        </w:trPr>
        <w:tc>
          <w:tcPr>
            <w:tcW w:w="981" w:type="dxa"/>
            <w:vMerge w:val="restart"/>
            <w:shd w:val="clear" w:color="auto" w:fill="auto"/>
            <w:vAlign w:val="center"/>
          </w:tcPr>
          <w:p>
            <w:pPr>
              <w:widowControl/>
              <w:jc w:val="center"/>
              <w:textAlignment w:val="center"/>
              <w:rPr>
                <w:rFonts w:ascii="仿宋_GB2312" w:hAnsi="宋体" w:eastAsia="仿宋_GB2312" w:cs="宋体"/>
                <w:color w:val="000000"/>
                <w:sz w:val="24"/>
                <w:szCs w:val="24"/>
              </w:rPr>
            </w:pPr>
            <w:r>
              <w:rPr>
                <w:rStyle w:val="17"/>
                <w:rFonts w:hint="default" w:ascii="仿宋_GB2312" w:eastAsia="仿宋_GB2312"/>
                <w:sz w:val="24"/>
                <w:szCs w:val="24"/>
              </w:rPr>
              <w:t>艺术学院</w:t>
            </w:r>
          </w:p>
        </w:tc>
        <w:tc>
          <w:tcPr>
            <w:tcW w:w="1056" w:type="dxa"/>
            <w:vMerge w:val="restart"/>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教学科研</w:t>
            </w:r>
          </w:p>
        </w:tc>
        <w:tc>
          <w:tcPr>
            <w:tcW w:w="3507"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设计学相关学科</w:t>
            </w:r>
            <w:r>
              <w:rPr>
                <w:rFonts w:ascii="仿宋_GB2312" w:hAnsi="宋体" w:eastAsia="仿宋_GB2312" w:cs="宋体"/>
                <w:color w:val="000000"/>
                <w:sz w:val="24"/>
                <w:szCs w:val="24"/>
              </w:rPr>
              <w:t xml:space="preserve"> </w:t>
            </w:r>
          </w:p>
        </w:tc>
        <w:tc>
          <w:tcPr>
            <w:tcW w:w="3118" w:type="dxa"/>
            <w:shd w:val="clear" w:color="auto" w:fill="auto"/>
            <w:vAlign w:val="center"/>
          </w:tcPr>
          <w:p>
            <w:pPr>
              <w:jc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博士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401" w:hRule="atLeast"/>
        </w:trPr>
        <w:tc>
          <w:tcPr>
            <w:tcW w:w="981" w:type="dxa"/>
            <w:vMerge w:val="continue"/>
            <w:shd w:val="clear" w:color="auto" w:fill="auto"/>
            <w:vAlign w:val="center"/>
          </w:tcPr>
          <w:p>
            <w:pPr>
              <w:jc w:val="center"/>
              <w:rPr>
                <w:rFonts w:ascii="仿宋_GB2312" w:hAnsi="宋体" w:eastAsia="仿宋_GB2312" w:cs="宋体"/>
                <w:color w:val="000000"/>
                <w:sz w:val="24"/>
                <w:szCs w:val="24"/>
              </w:rPr>
            </w:pPr>
          </w:p>
        </w:tc>
        <w:tc>
          <w:tcPr>
            <w:tcW w:w="1056" w:type="dxa"/>
            <w:vMerge w:val="continue"/>
            <w:shd w:val="clear" w:color="auto" w:fill="auto"/>
            <w:vAlign w:val="center"/>
          </w:tcPr>
          <w:p>
            <w:pPr>
              <w:jc w:val="center"/>
              <w:rPr>
                <w:rFonts w:ascii="仿宋_GB2312" w:hAnsi="宋体" w:eastAsia="仿宋_GB2312" w:cs="宋体"/>
                <w:color w:val="000000"/>
                <w:sz w:val="24"/>
                <w:szCs w:val="24"/>
              </w:rPr>
            </w:pPr>
          </w:p>
        </w:tc>
        <w:tc>
          <w:tcPr>
            <w:tcW w:w="3507"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设计学</w:t>
            </w:r>
            <w:r>
              <w:rPr>
                <w:rFonts w:ascii="仿宋_GB2312" w:hAnsi="宋体" w:eastAsia="仿宋_GB2312" w:cs="宋体"/>
                <w:color w:val="000000"/>
                <w:sz w:val="24"/>
                <w:szCs w:val="24"/>
              </w:rPr>
              <w:t xml:space="preserve"> </w:t>
            </w:r>
          </w:p>
        </w:tc>
        <w:tc>
          <w:tcPr>
            <w:tcW w:w="3118"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硕士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1401" w:hRule="atLeast"/>
        </w:trPr>
        <w:tc>
          <w:tcPr>
            <w:tcW w:w="981" w:type="dxa"/>
            <w:vMerge w:val="restart"/>
            <w:shd w:val="clear" w:color="auto" w:fill="auto"/>
            <w:vAlign w:val="center"/>
          </w:tcPr>
          <w:p>
            <w:pPr>
              <w:widowControl/>
              <w:jc w:val="center"/>
              <w:textAlignment w:val="center"/>
              <w:rPr>
                <w:rFonts w:ascii="仿宋_GB2312" w:hAnsi="宋体" w:eastAsia="仿宋_GB2312" w:cs="宋体"/>
                <w:color w:val="000000"/>
                <w:kern w:val="0"/>
                <w:sz w:val="24"/>
                <w:szCs w:val="24"/>
              </w:rPr>
            </w:pPr>
          </w:p>
          <w:p>
            <w:pPr>
              <w:widowControl/>
              <w:jc w:val="center"/>
              <w:textAlignment w:val="center"/>
              <w:rPr>
                <w:rFonts w:ascii="仿宋_GB2312" w:hAnsi="宋体" w:eastAsia="仿宋_GB2312" w:cs="宋体"/>
                <w:color w:val="000000"/>
                <w:kern w:val="0"/>
                <w:sz w:val="24"/>
                <w:szCs w:val="24"/>
              </w:rPr>
            </w:pPr>
          </w:p>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计算机与信息学院</w:t>
            </w:r>
            <w:r>
              <w:rPr>
                <w:rFonts w:hint="eastAsia" w:ascii="仿宋_GB2312" w:hAnsi="宋体" w:eastAsia="仿宋_GB2312" w:cs="宋体"/>
                <w:color w:val="000000"/>
                <w:kern w:val="0"/>
                <w:sz w:val="24"/>
                <w:szCs w:val="24"/>
              </w:rPr>
              <w:br w:type="textWrapping"/>
            </w:r>
          </w:p>
        </w:tc>
        <w:tc>
          <w:tcPr>
            <w:tcW w:w="1056" w:type="dxa"/>
            <w:vMerge w:val="restart"/>
            <w:shd w:val="clear" w:color="auto" w:fill="auto"/>
            <w:vAlign w:val="center"/>
          </w:tcPr>
          <w:p>
            <w:pPr>
              <w:widowControl/>
              <w:jc w:val="center"/>
              <w:textAlignment w:val="center"/>
              <w:rPr>
                <w:rFonts w:ascii="仿宋_GB2312" w:hAnsi="宋体" w:eastAsia="仿宋_GB2312" w:cs="宋体"/>
                <w:color w:val="000000"/>
                <w:kern w:val="0"/>
                <w:sz w:val="24"/>
                <w:szCs w:val="24"/>
              </w:rPr>
            </w:pPr>
          </w:p>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教学科研</w:t>
            </w:r>
          </w:p>
        </w:tc>
        <w:tc>
          <w:tcPr>
            <w:tcW w:w="3507"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计算机科学与技术、电子科学与技术、信息与通信工程、控制科学与工程/软件工程、数学</w:t>
            </w:r>
          </w:p>
        </w:tc>
        <w:tc>
          <w:tcPr>
            <w:tcW w:w="3118" w:type="dxa"/>
            <w:shd w:val="clear" w:color="auto" w:fill="auto"/>
            <w:vAlign w:val="center"/>
          </w:tcPr>
          <w:p>
            <w:pPr>
              <w:jc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博士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1401" w:hRule="atLeast"/>
        </w:trPr>
        <w:tc>
          <w:tcPr>
            <w:tcW w:w="981" w:type="dxa"/>
            <w:vMerge w:val="continue"/>
            <w:shd w:val="clear" w:color="auto" w:fill="auto"/>
            <w:vAlign w:val="center"/>
          </w:tcPr>
          <w:p>
            <w:pPr>
              <w:jc w:val="center"/>
              <w:rPr>
                <w:rFonts w:ascii="仿宋_GB2312" w:hAnsi="宋体" w:eastAsia="仿宋_GB2312" w:cs="宋体"/>
                <w:color w:val="000000"/>
                <w:sz w:val="24"/>
                <w:szCs w:val="24"/>
              </w:rPr>
            </w:pPr>
          </w:p>
        </w:tc>
        <w:tc>
          <w:tcPr>
            <w:tcW w:w="1056" w:type="dxa"/>
            <w:vMerge w:val="continue"/>
            <w:shd w:val="clear" w:color="auto" w:fill="auto"/>
            <w:vAlign w:val="center"/>
          </w:tcPr>
          <w:p>
            <w:pPr>
              <w:jc w:val="center"/>
              <w:rPr>
                <w:rFonts w:ascii="仿宋_GB2312" w:hAnsi="宋体" w:eastAsia="仿宋_GB2312" w:cs="宋体"/>
                <w:color w:val="000000"/>
                <w:sz w:val="24"/>
                <w:szCs w:val="24"/>
              </w:rPr>
            </w:pPr>
          </w:p>
        </w:tc>
        <w:tc>
          <w:tcPr>
            <w:tcW w:w="3507"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计算机科学与技术、电子科学与技术、信息与通信工程、控制科学与工程</w:t>
            </w:r>
            <w:r>
              <w:rPr>
                <w:rFonts w:ascii="仿宋_GB2312" w:hAnsi="宋体" w:eastAsia="仿宋_GB2312" w:cs="宋体"/>
                <w:color w:val="000000"/>
                <w:sz w:val="24"/>
                <w:szCs w:val="24"/>
              </w:rPr>
              <w:t xml:space="preserve"> </w:t>
            </w:r>
          </w:p>
        </w:tc>
        <w:tc>
          <w:tcPr>
            <w:tcW w:w="3118"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硕士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561" w:hRule="atLeast"/>
        </w:trPr>
        <w:tc>
          <w:tcPr>
            <w:tcW w:w="981" w:type="dxa"/>
            <w:vMerge w:val="restart"/>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数理学院</w:t>
            </w:r>
          </w:p>
        </w:tc>
        <w:tc>
          <w:tcPr>
            <w:tcW w:w="1056" w:type="dxa"/>
            <w:vMerge w:val="restart"/>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教学科研</w:t>
            </w:r>
          </w:p>
        </w:tc>
        <w:tc>
          <w:tcPr>
            <w:tcW w:w="3507"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数学/统计学</w:t>
            </w:r>
          </w:p>
        </w:tc>
        <w:tc>
          <w:tcPr>
            <w:tcW w:w="3118" w:type="dxa"/>
            <w:shd w:val="clear" w:color="auto" w:fill="auto"/>
            <w:vAlign w:val="center"/>
          </w:tcPr>
          <w:p>
            <w:pPr>
              <w:jc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博士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581" w:hRule="atLeast"/>
        </w:trPr>
        <w:tc>
          <w:tcPr>
            <w:tcW w:w="981" w:type="dxa"/>
            <w:vMerge w:val="continue"/>
            <w:shd w:val="clear" w:color="auto" w:fill="auto"/>
            <w:vAlign w:val="center"/>
          </w:tcPr>
          <w:p>
            <w:pPr>
              <w:jc w:val="center"/>
              <w:rPr>
                <w:rFonts w:ascii="仿宋_GB2312" w:hAnsi="宋体" w:eastAsia="仿宋_GB2312" w:cs="宋体"/>
                <w:color w:val="000000"/>
                <w:sz w:val="24"/>
                <w:szCs w:val="24"/>
              </w:rPr>
            </w:pPr>
          </w:p>
        </w:tc>
        <w:tc>
          <w:tcPr>
            <w:tcW w:w="1056" w:type="dxa"/>
            <w:vMerge w:val="continue"/>
            <w:shd w:val="clear" w:color="auto" w:fill="auto"/>
            <w:vAlign w:val="center"/>
          </w:tcPr>
          <w:p>
            <w:pPr>
              <w:jc w:val="center"/>
              <w:rPr>
                <w:rFonts w:ascii="仿宋_GB2312" w:hAnsi="宋体" w:eastAsia="仿宋_GB2312" w:cs="宋体"/>
                <w:color w:val="000000"/>
                <w:sz w:val="24"/>
                <w:szCs w:val="24"/>
              </w:rPr>
            </w:pPr>
          </w:p>
        </w:tc>
        <w:tc>
          <w:tcPr>
            <w:tcW w:w="3507"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金融学</w:t>
            </w:r>
            <w:r>
              <w:rPr>
                <w:rFonts w:ascii="仿宋_GB2312" w:hAnsi="宋体" w:eastAsia="仿宋_GB2312" w:cs="宋体"/>
                <w:color w:val="000000"/>
                <w:sz w:val="24"/>
                <w:szCs w:val="24"/>
              </w:rPr>
              <w:t xml:space="preserve"> </w:t>
            </w:r>
          </w:p>
        </w:tc>
        <w:tc>
          <w:tcPr>
            <w:tcW w:w="3118" w:type="dxa"/>
            <w:shd w:val="clear" w:color="auto" w:fill="auto"/>
            <w:vAlign w:val="center"/>
          </w:tcPr>
          <w:p>
            <w:pPr>
              <w:jc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硕士及以上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561" w:hRule="atLeast"/>
        </w:trPr>
        <w:tc>
          <w:tcPr>
            <w:tcW w:w="981"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人文学院</w:t>
            </w:r>
          </w:p>
        </w:tc>
        <w:tc>
          <w:tcPr>
            <w:tcW w:w="1056"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教学科研</w:t>
            </w:r>
          </w:p>
        </w:tc>
        <w:tc>
          <w:tcPr>
            <w:tcW w:w="3507"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公共管理/法学</w:t>
            </w:r>
          </w:p>
        </w:tc>
        <w:tc>
          <w:tcPr>
            <w:tcW w:w="3118" w:type="dxa"/>
            <w:shd w:val="clear" w:color="auto" w:fill="auto"/>
            <w:vAlign w:val="center"/>
          </w:tcPr>
          <w:p>
            <w:pPr>
              <w:jc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博士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581" w:hRule="atLeast"/>
        </w:trPr>
        <w:tc>
          <w:tcPr>
            <w:tcW w:w="981" w:type="dxa"/>
            <w:vMerge w:val="restart"/>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外国语学院</w:t>
            </w:r>
          </w:p>
        </w:tc>
        <w:tc>
          <w:tcPr>
            <w:tcW w:w="1056" w:type="dxa"/>
            <w:vMerge w:val="restart"/>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教学科研</w:t>
            </w:r>
          </w:p>
        </w:tc>
        <w:tc>
          <w:tcPr>
            <w:tcW w:w="3507"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英语语言文学、德语语言文学</w:t>
            </w:r>
            <w:r>
              <w:rPr>
                <w:rFonts w:ascii="仿宋_GB2312" w:hAnsi="宋体" w:eastAsia="仿宋_GB2312" w:cs="宋体"/>
                <w:color w:val="000000"/>
                <w:sz w:val="24"/>
                <w:szCs w:val="24"/>
              </w:rPr>
              <w:t xml:space="preserve"> </w:t>
            </w:r>
          </w:p>
        </w:tc>
        <w:tc>
          <w:tcPr>
            <w:tcW w:w="3118" w:type="dxa"/>
            <w:shd w:val="clear" w:color="auto" w:fill="auto"/>
            <w:vAlign w:val="center"/>
          </w:tcPr>
          <w:p>
            <w:pPr>
              <w:jc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博士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581" w:hRule="atLeast"/>
        </w:trPr>
        <w:tc>
          <w:tcPr>
            <w:tcW w:w="981" w:type="dxa"/>
            <w:vMerge w:val="continue"/>
            <w:shd w:val="clear" w:color="auto" w:fill="auto"/>
            <w:vAlign w:val="center"/>
          </w:tcPr>
          <w:p>
            <w:pPr>
              <w:jc w:val="center"/>
              <w:rPr>
                <w:rFonts w:ascii="仿宋_GB2312" w:hAnsi="宋体" w:eastAsia="仿宋_GB2312" w:cs="宋体"/>
                <w:color w:val="000000"/>
                <w:sz w:val="24"/>
                <w:szCs w:val="24"/>
              </w:rPr>
            </w:pPr>
          </w:p>
        </w:tc>
        <w:tc>
          <w:tcPr>
            <w:tcW w:w="1056" w:type="dxa"/>
            <w:vMerge w:val="continue"/>
            <w:shd w:val="clear" w:color="auto" w:fill="auto"/>
            <w:vAlign w:val="center"/>
          </w:tcPr>
          <w:p>
            <w:pPr>
              <w:jc w:val="center"/>
              <w:rPr>
                <w:rFonts w:ascii="仿宋_GB2312" w:hAnsi="宋体" w:eastAsia="仿宋_GB2312" w:cs="宋体"/>
                <w:color w:val="000000"/>
                <w:sz w:val="24"/>
                <w:szCs w:val="24"/>
              </w:rPr>
            </w:pPr>
          </w:p>
        </w:tc>
        <w:tc>
          <w:tcPr>
            <w:tcW w:w="3507"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英语语言文学/德语语言文学</w:t>
            </w:r>
          </w:p>
        </w:tc>
        <w:tc>
          <w:tcPr>
            <w:tcW w:w="3118"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硕士及以上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561" w:hRule="atLeast"/>
        </w:trPr>
        <w:tc>
          <w:tcPr>
            <w:tcW w:w="981" w:type="dxa"/>
            <w:vMerge w:val="restart"/>
            <w:shd w:val="clear" w:color="auto" w:fill="auto"/>
            <w:vAlign w:val="center"/>
          </w:tcPr>
          <w:p>
            <w:pPr>
              <w:widowControl/>
              <w:jc w:val="center"/>
              <w:textAlignment w:val="center"/>
              <w:rPr>
                <w:rStyle w:val="21"/>
                <w:rFonts w:hint="default" w:ascii="仿宋_GB2312" w:eastAsia="仿宋_GB2312"/>
                <w:sz w:val="24"/>
                <w:szCs w:val="24"/>
              </w:rPr>
            </w:pPr>
          </w:p>
          <w:p>
            <w:pPr>
              <w:widowControl/>
              <w:jc w:val="center"/>
              <w:textAlignment w:val="center"/>
              <w:rPr>
                <w:rFonts w:ascii="仿宋_GB2312" w:hAnsi="宋体" w:eastAsia="仿宋_GB2312" w:cs="宋体"/>
                <w:color w:val="000000"/>
                <w:sz w:val="24"/>
                <w:szCs w:val="24"/>
              </w:rPr>
            </w:pPr>
            <w:r>
              <w:rPr>
                <w:rStyle w:val="21"/>
                <w:rFonts w:hint="default" w:ascii="仿宋_GB2312" w:eastAsia="仿宋_GB2312"/>
                <w:sz w:val="24"/>
                <w:szCs w:val="24"/>
              </w:rPr>
              <w:t>体育学院</w:t>
            </w:r>
          </w:p>
        </w:tc>
        <w:tc>
          <w:tcPr>
            <w:tcW w:w="1056" w:type="dxa"/>
            <w:vMerge w:val="restart"/>
            <w:shd w:val="clear" w:color="auto" w:fill="auto"/>
            <w:vAlign w:val="center"/>
          </w:tcPr>
          <w:p>
            <w:pPr>
              <w:widowControl/>
              <w:jc w:val="center"/>
              <w:textAlignment w:val="center"/>
              <w:rPr>
                <w:rFonts w:ascii="仿宋_GB2312" w:hAnsi="宋体" w:eastAsia="仿宋_GB2312" w:cs="宋体"/>
                <w:color w:val="000000"/>
                <w:kern w:val="0"/>
                <w:sz w:val="24"/>
                <w:szCs w:val="24"/>
              </w:rPr>
            </w:pPr>
          </w:p>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教学科研</w:t>
            </w:r>
          </w:p>
        </w:tc>
        <w:tc>
          <w:tcPr>
            <w:tcW w:w="3507" w:type="dxa"/>
            <w:vMerge w:val="restart"/>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体育学及相关学科</w:t>
            </w:r>
            <w:r>
              <w:rPr>
                <w:rFonts w:ascii="仿宋_GB2312" w:hAnsi="宋体" w:eastAsia="仿宋_GB2312" w:cs="宋体"/>
                <w:color w:val="000000"/>
                <w:sz w:val="24"/>
                <w:szCs w:val="24"/>
              </w:rPr>
              <w:t xml:space="preserve"> </w:t>
            </w:r>
          </w:p>
        </w:tc>
        <w:tc>
          <w:tcPr>
            <w:tcW w:w="3118" w:type="dxa"/>
            <w:shd w:val="clear" w:color="auto" w:fill="auto"/>
            <w:vAlign w:val="center"/>
          </w:tcPr>
          <w:p>
            <w:pPr>
              <w:jc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博士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647" w:hRule="atLeast"/>
        </w:trPr>
        <w:tc>
          <w:tcPr>
            <w:tcW w:w="981" w:type="dxa"/>
            <w:vMerge w:val="continue"/>
            <w:shd w:val="clear" w:color="auto" w:fill="auto"/>
            <w:vAlign w:val="center"/>
          </w:tcPr>
          <w:p>
            <w:pPr>
              <w:jc w:val="center"/>
              <w:rPr>
                <w:rFonts w:ascii="仿宋_GB2312" w:hAnsi="宋体" w:eastAsia="仿宋_GB2312" w:cs="宋体"/>
                <w:color w:val="000000"/>
                <w:sz w:val="24"/>
                <w:szCs w:val="24"/>
              </w:rPr>
            </w:pPr>
          </w:p>
        </w:tc>
        <w:tc>
          <w:tcPr>
            <w:tcW w:w="1056" w:type="dxa"/>
            <w:vMerge w:val="continue"/>
            <w:shd w:val="clear" w:color="auto" w:fill="auto"/>
            <w:vAlign w:val="center"/>
          </w:tcPr>
          <w:p>
            <w:pPr>
              <w:jc w:val="center"/>
              <w:rPr>
                <w:rFonts w:ascii="仿宋_GB2312" w:hAnsi="宋体" w:eastAsia="仿宋_GB2312" w:cs="宋体"/>
                <w:color w:val="000000"/>
                <w:sz w:val="24"/>
                <w:szCs w:val="24"/>
              </w:rPr>
            </w:pPr>
          </w:p>
        </w:tc>
        <w:tc>
          <w:tcPr>
            <w:tcW w:w="3507" w:type="dxa"/>
            <w:vMerge w:val="continue"/>
            <w:shd w:val="clear" w:color="auto" w:fill="auto"/>
            <w:vAlign w:val="center"/>
          </w:tcPr>
          <w:p>
            <w:pPr>
              <w:jc w:val="center"/>
              <w:rPr>
                <w:rFonts w:ascii="仿宋_GB2312" w:hAnsi="宋体" w:eastAsia="仿宋_GB2312" w:cs="宋体"/>
                <w:color w:val="000000"/>
                <w:sz w:val="24"/>
                <w:szCs w:val="24"/>
              </w:rPr>
            </w:pPr>
          </w:p>
        </w:tc>
        <w:tc>
          <w:tcPr>
            <w:tcW w:w="3118"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硕士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954" w:hRule="atLeast"/>
        </w:trPr>
        <w:tc>
          <w:tcPr>
            <w:tcW w:w="981" w:type="dxa"/>
            <w:vMerge w:val="continue"/>
            <w:shd w:val="clear" w:color="auto" w:fill="auto"/>
            <w:vAlign w:val="center"/>
          </w:tcPr>
          <w:p>
            <w:pPr>
              <w:jc w:val="center"/>
              <w:rPr>
                <w:rFonts w:ascii="仿宋_GB2312" w:hAnsi="宋体" w:eastAsia="仿宋_GB2312" w:cs="宋体"/>
                <w:color w:val="000000"/>
                <w:sz w:val="24"/>
                <w:szCs w:val="24"/>
              </w:rPr>
            </w:pPr>
          </w:p>
        </w:tc>
        <w:tc>
          <w:tcPr>
            <w:tcW w:w="1056" w:type="dxa"/>
            <w:vMerge w:val="continue"/>
            <w:shd w:val="clear" w:color="auto" w:fill="auto"/>
            <w:vAlign w:val="center"/>
          </w:tcPr>
          <w:p>
            <w:pPr>
              <w:jc w:val="center"/>
              <w:rPr>
                <w:rFonts w:ascii="仿宋_GB2312" w:hAnsi="宋体" w:eastAsia="仿宋_GB2312" w:cs="宋体"/>
                <w:color w:val="000000"/>
                <w:sz w:val="24"/>
                <w:szCs w:val="24"/>
              </w:rPr>
            </w:pPr>
          </w:p>
        </w:tc>
        <w:tc>
          <w:tcPr>
            <w:tcW w:w="3507"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艺术学</w:t>
            </w:r>
            <w:r>
              <w:rPr>
                <w:rFonts w:ascii="仿宋_GB2312" w:hAnsi="宋体" w:eastAsia="仿宋_GB2312" w:cs="宋体"/>
                <w:color w:val="000000"/>
                <w:sz w:val="24"/>
                <w:szCs w:val="24"/>
              </w:rPr>
              <w:t xml:space="preserve"> </w:t>
            </w:r>
          </w:p>
        </w:tc>
        <w:tc>
          <w:tcPr>
            <w:tcW w:w="3118"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硕士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1128" w:hRule="atLeast"/>
        </w:trPr>
        <w:tc>
          <w:tcPr>
            <w:tcW w:w="981" w:type="dxa"/>
            <w:vMerge w:val="restart"/>
            <w:shd w:val="clear" w:color="auto" w:fill="auto"/>
            <w:vAlign w:val="center"/>
          </w:tcPr>
          <w:p>
            <w:pPr>
              <w:widowControl/>
              <w:jc w:val="center"/>
              <w:textAlignment w:val="center"/>
              <w:rPr>
                <w:rFonts w:ascii="仿宋_GB2312" w:hAnsi="宋体" w:eastAsia="仿宋_GB2312" w:cs="宋体"/>
                <w:color w:val="000000"/>
                <w:kern w:val="0"/>
                <w:sz w:val="24"/>
                <w:szCs w:val="24"/>
              </w:rPr>
            </w:pPr>
          </w:p>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建筑工程学院</w:t>
            </w:r>
          </w:p>
        </w:tc>
        <w:tc>
          <w:tcPr>
            <w:tcW w:w="1056" w:type="dxa"/>
            <w:vMerge w:val="restart"/>
            <w:shd w:val="clear" w:color="auto" w:fill="auto"/>
            <w:vAlign w:val="center"/>
          </w:tcPr>
          <w:p>
            <w:pPr>
              <w:widowControl/>
              <w:jc w:val="center"/>
              <w:textAlignment w:val="center"/>
              <w:rPr>
                <w:rFonts w:ascii="仿宋_GB2312" w:hAnsi="宋体" w:eastAsia="仿宋_GB2312" w:cs="宋体"/>
                <w:color w:val="000000"/>
                <w:kern w:val="0"/>
                <w:sz w:val="24"/>
                <w:szCs w:val="24"/>
              </w:rPr>
            </w:pPr>
          </w:p>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教学科研</w:t>
            </w:r>
          </w:p>
        </w:tc>
        <w:tc>
          <w:tcPr>
            <w:tcW w:w="3507"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土木工程/力学</w:t>
            </w:r>
          </w:p>
        </w:tc>
        <w:tc>
          <w:tcPr>
            <w:tcW w:w="3118"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博士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757" w:hRule="atLeast"/>
        </w:trPr>
        <w:tc>
          <w:tcPr>
            <w:tcW w:w="981" w:type="dxa"/>
            <w:vMerge w:val="continue"/>
            <w:shd w:val="clear" w:color="auto" w:fill="auto"/>
            <w:vAlign w:val="center"/>
          </w:tcPr>
          <w:p>
            <w:pPr>
              <w:jc w:val="center"/>
              <w:rPr>
                <w:rFonts w:ascii="仿宋_GB2312" w:hAnsi="宋体" w:eastAsia="仿宋_GB2312" w:cs="宋体"/>
                <w:color w:val="000000"/>
                <w:sz w:val="24"/>
                <w:szCs w:val="24"/>
              </w:rPr>
            </w:pPr>
          </w:p>
        </w:tc>
        <w:tc>
          <w:tcPr>
            <w:tcW w:w="1056" w:type="dxa"/>
            <w:vMerge w:val="continue"/>
            <w:shd w:val="clear" w:color="auto" w:fill="auto"/>
            <w:vAlign w:val="center"/>
          </w:tcPr>
          <w:p>
            <w:pPr>
              <w:jc w:val="center"/>
              <w:rPr>
                <w:rFonts w:ascii="仿宋_GB2312" w:hAnsi="宋体" w:eastAsia="仿宋_GB2312" w:cs="宋体"/>
                <w:color w:val="000000"/>
                <w:sz w:val="24"/>
                <w:szCs w:val="24"/>
              </w:rPr>
            </w:pPr>
          </w:p>
        </w:tc>
        <w:tc>
          <w:tcPr>
            <w:tcW w:w="3507"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管理科学与工程</w:t>
            </w:r>
          </w:p>
        </w:tc>
        <w:tc>
          <w:tcPr>
            <w:tcW w:w="3118"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博士或硕士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757" w:hRule="atLeast"/>
        </w:trPr>
        <w:tc>
          <w:tcPr>
            <w:tcW w:w="981" w:type="dxa"/>
            <w:vMerge w:val="continue"/>
            <w:shd w:val="clear" w:color="auto" w:fill="auto"/>
            <w:vAlign w:val="center"/>
          </w:tcPr>
          <w:p>
            <w:pPr>
              <w:jc w:val="center"/>
              <w:rPr>
                <w:rFonts w:ascii="仿宋_GB2312" w:hAnsi="宋体" w:eastAsia="仿宋_GB2312" w:cs="宋体"/>
                <w:color w:val="000000"/>
                <w:sz w:val="24"/>
                <w:szCs w:val="24"/>
              </w:rPr>
            </w:pPr>
          </w:p>
        </w:tc>
        <w:tc>
          <w:tcPr>
            <w:tcW w:w="1056" w:type="dxa"/>
            <w:vMerge w:val="continue"/>
            <w:shd w:val="clear" w:color="auto" w:fill="auto"/>
            <w:vAlign w:val="center"/>
          </w:tcPr>
          <w:p>
            <w:pPr>
              <w:jc w:val="center"/>
              <w:rPr>
                <w:rFonts w:ascii="仿宋_GB2312" w:hAnsi="宋体" w:eastAsia="仿宋_GB2312" w:cs="宋体"/>
                <w:color w:val="000000"/>
                <w:sz w:val="24"/>
                <w:szCs w:val="24"/>
              </w:rPr>
            </w:pPr>
          </w:p>
        </w:tc>
        <w:tc>
          <w:tcPr>
            <w:tcW w:w="3507" w:type="dxa"/>
            <w:shd w:val="clear" w:color="auto" w:fill="auto"/>
            <w:vAlign w:val="center"/>
          </w:tcPr>
          <w:p>
            <w:pPr>
              <w:widowControl/>
              <w:jc w:val="center"/>
              <w:textAlignment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建筑学/城乡规划学</w:t>
            </w:r>
          </w:p>
        </w:tc>
        <w:tc>
          <w:tcPr>
            <w:tcW w:w="3118" w:type="dxa"/>
            <w:shd w:val="clear" w:color="auto" w:fill="auto"/>
            <w:vAlign w:val="center"/>
          </w:tcPr>
          <w:p>
            <w:pPr>
              <w:widowControl/>
              <w:jc w:val="center"/>
              <w:textAlignment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硕士及以上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581" w:hRule="atLeast"/>
        </w:trPr>
        <w:tc>
          <w:tcPr>
            <w:tcW w:w="981" w:type="dxa"/>
            <w:vMerge w:val="continue"/>
            <w:shd w:val="clear" w:color="auto" w:fill="auto"/>
            <w:vAlign w:val="center"/>
          </w:tcPr>
          <w:p>
            <w:pPr>
              <w:jc w:val="center"/>
              <w:rPr>
                <w:rFonts w:ascii="仿宋_GB2312" w:hAnsi="宋体" w:eastAsia="仿宋_GB2312" w:cs="宋体"/>
                <w:color w:val="000000"/>
                <w:sz w:val="24"/>
                <w:szCs w:val="24"/>
              </w:rPr>
            </w:pPr>
          </w:p>
        </w:tc>
        <w:tc>
          <w:tcPr>
            <w:tcW w:w="1056"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实验教学与管理</w:t>
            </w:r>
          </w:p>
        </w:tc>
        <w:tc>
          <w:tcPr>
            <w:tcW w:w="3507"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土木学科相关专业</w:t>
            </w:r>
            <w:r>
              <w:rPr>
                <w:rFonts w:ascii="仿宋_GB2312" w:hAnsi="宋体" w:eastAsia="仿宋_GB2312" w:cs="宋体"/>
                <w:color w:val="000000"/>
                <w:sz w:val="24"/>
                <w:szCs w:val="24"/>
              </w:rPr>
              <w:t xml:space="preserve"> </w:t>
            </w:r>
          </w:p>
        </w:tc>
        <w:tc>
          <w:tcPr>
            <w:tcW w:w="3118"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博士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1128" w:hRule="atLeast"/>
        </w:trPr>
        <w:tc>
          <w:tcPr>
            <w:tcW w:w="981"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马克思主义学院</w:t>
            </w:r>
          </w:p>
        </w:tc>
        <w:tc>
          <w:tcPr>
            <w:tcW w:w="1056"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教学科研</w:t>
            </w:r>
          </w:p>
        </w:tc>
        <w:tc>
          <w:tcPr>
            <w:tcW w:w="3507"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马克思主义理论及相关学科</w:t>
            </w:r>
            <w:r>
              <w:rPr>
                <w:rFonts w:ascii="仿宋_GB2312" w:hAnsi="宋体" w:eastAsia="仿宋_GB2312" w:cs="宋体"/>
                <w:color w:val="000000"/>
                <w:sz w:val="24"/>
                <w:szCs w:val="24"/>
              </w:rPr>
              <w:t xml:space="preserve"> </w:t>
            </w:r>
          </w:p>
        </w:tc>
        <w:tc>
          <w:tcPr>
            <w:tcW w:w="3118" w:type="dxa"/>
            <w:shd w:val="clear" w:color="auto" w:fill="auto"/>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博士</w:t>
            </w:r>
          </w:p>
        </w:tc>
      </w:tr>
    </w:tbl>
    <w:p>
      <w:pPr>
        <w:pStyle w:val="16"/>
        <w:ind w:firstLine="630" w:firstLineChars="196"/>
        <w:jc w:val="left"/>
        <w:rPr>
          <w:rFonts w:ascii="仿宋_GB2312" w:eastAsia="仿宋_GB2312"/>
          <w:b/>
          <w:bCs/>
          <w:sz w:val="32"/>
          <w:szCs w:val="32"/>
        </w:rPr>
      </w:pPr>
    </w:p>
    <w:p>
      <w:pPr>
        <w:widowControl/>
        <w:spacing w:line="580" w:lineRule="exact"/>
        <w:ind w:firstLine="560" w:firstLineChars="200"/>
        <w:rPr>
          <w:rFonts w:hint="eastAsia" w:ascii="仿宋_GB2312" w:eastAsia="仿宋_GB2312"/>
          <w:color w:val="000000"/>
          <w:sz w:val="28"/>
          <w:szCs w:val="28"/>
        </w:rPr>
      </w:pPr>
      <w:bookmarkStart w:id="0" w:name="_GoBack"/>
      <w:bookmarkEnd w:id="0"/>
    </w:p>
    <w:sectPr>
      <w:pgSz w:w="11906" w:h="16838"/>
      <w:pgMar w:top="1440" w:right="1474" w:bottom="1440"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font-weight : 400">
    <w:altName w:val="Courier New"/>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auto"/>
    <w:pitch w:val="default"/>
    <w:sig w:usb0="00007A87" w:usb1="80000000" w:usb2="00000008"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95663"/>
    <w:rsid w:val="0001720F"/>
    <w:rsid w:val="0003246F"/>
    <w:rsid w:val="00045E7C"/>
    <w:rsid w:val="00070CA5"/>
    <w:rsid w:val="00073A10"/>
    <w:rsid w:val="000827EB"/>
    <w:rsid w:val="00083560"/>
    <w:rsid w:val="00084DA9"/>
    <w:rsid w:val="00085A80"/>
    <w:rsid w:val="00091CC4"/>
    <w:rsid w:val="000E13AB"/>
    <w:rsid w:val="000E342A"/>
    <w:rsid w:val="00171D8E"/>
    <w:rsid w:val="00185EEF"/>
    <w:rsid w:val="0019215A"/>
    <w:rsid w:val="00197C07"/>
    <w:rsid w:val="001B2E61"/>
    <w:rsid w:val="001E34CD"/>
    <w:rsid w:val="001F0CD1"/>
    <w:rsid w:val="002413E9"/>
    <w:rsid w:val="002500CD"/>
    <w:rsid w:val="002649C6"/>
    <w:rsid w:val="002D0FDF"/>
    <w:rsid w:val="002E60F5"/>
    <w:rsid w:val="00313194"/>
    <w:rsid w:val="00316722"/>
    <w:rsid w:val="00327550"/>
    <w:rsid w:val="00375CCA"/>
    <w:rsid w:val="00382698"/>
    <w:rsid w:val="003B6F38"/>
    <w:rsid w:val="003C6B51"/>
    <w:rsid w:val="003D07B3"/>
    <w:rsid w:val="003D70D5"/>
    <w:rsid w:val="00405EA5"/>
    <w:rsid w:val="0041707C"/>
    <w:rsid w:val="00465A6D"/>
    <w:rsid w:val="004857FA"/>
    <w:rsid w:val="004A5528"/>
    <w:rsid w:val="004B3E12"/>
    <w:rsid w:val="004C4439"/>
    <w:rsid w:val="004F7112"/>
    <w:rsid w:val="004F733B"/>
    <w:rsid w:val="00516B09"/>
    <w:rsid w:val="00527369"/>
    <w:rsid w:val="00541B73"/>
    <w:rsid w:val="005523E8"/>
    <w:rsid w:val="00553B6A"/>
    <w:rsid w:val="005A74C6"/>
    <w:rsid w:val="00600D10"/>
    <w:rsid w:val="006273F6"/>
    <w:rsid w:val="00642881"/>
    <w:rsid w:val="006461C9"/>
    <w:rsid w:val="00650CA5"/>
    <w:rsid w:val="0065150D"/>
    <w:rsid w:val="00660B02"/>
    <w:rsid w:val="006805B9"/>
    <w:rsid w:val="006954D9"/>
    <w:rsid w:val="006B2939"/>
    <w:rsid w:val="006F2A37"/>
    <w:rsid w:val="00722404"/>
    <w:rsid w:val="0073666B"/>
    <w:rsid w:val="0075344F"/>
    <w:rsid w:val="00763080"/>
    <w:rsid w:val="00763975"/>
    <w:rsid w:val="00776D1E"/>
    <w:rsid w:val="007A0B89"/>
    <w:rsid w:val="007A5BE3"/>
    <w:rsid w:val="00806496"/>
    <w:rsid w:val="00810864"/>
    <w:rsid w:val="008419C1"/>
    <w:rsid w:val="008503D2"/>
    <w:rsid w:val="00892AA6"/>
    <w:rsid w:val="008A2CF3"/>
    <w:rsid w:val="008B52AE"/>
    <w:rsid w:val="008B6F80"/>
    <w:rsid w:val="008D5551"/>
    <w:rsid w:val="008E23EC"/>
    <w:rsid w:val="00915CCC"/>
    <w:rsid w:val="00973621"/>
    <w:rsid w:val="00987335"/>
    <w:rsid w:val="009A76CA"/>
    <w:rsid w:val="009C19A2"/>
    <w:rsid w:val="009D0485"/>
    <w:rsid w:val="009D42DC"/>
    <w:rsid w:val="00A01863"/>
    <w:rsid w:val="00A16D15"/>
    <w:rsid w:val="00A31253"/>
    <w:rsid w:val="00A76CF4"/>
    <w:rsid w:val="00A82DAC"/>
    <w:rsid w:val="00A845BF"/>
    <w:rsid w:val="00AA5474"/>
    <w:rsid w:val="00AC7485"/>
    <w:rsid w:val="00AD2EB1"/>
    <w:rsid w:val="00AE2B2C"/>
    <w:rsid w:val="00B02E8E"/>
    <w:rsid w:val="00B24A82"/>
    <w:rsid w:val="00B5318E"/>
    <w:rsid w:val="00B729E4"/>
    <w:rsid w:val="00BA681F"/>
    <w:rsid w:val="00BE1895"/>
    <w:rsid w:val="00BF238E"/>
    <w:rsid w:val="00BF2B2F"/>
    <w:rsid w:val="00C7753C"/>
    <w:rsid w:val="00C837A9"/>
    <w:rsid w:val="00C85801"/>
    <w:rsid w:val="00CB05FA"/>
    <w:rsid w:val="00CB4B9A"/>
    <w:rsid w:val="00CC5AF5"/>
    <w:rsid w:val="00CD6FFC"/>
    <w:rsid w:val="00CE6DA2"/>
    <w:rsid w:val="00CF2A0A"/>
    <w:rsid w:val="00D75609"/>
    <w:rsid w:val="00D90C44"/>
    <w:rsid w:val="00DD6657"/>
    <w:rsid w:val="00DE15A9"/>
    <w:rsid w:val="00E52D84"/>
    <w:rsid w:val="00E62C5D"/>
    <w:rsid w:val="00E67FE4"/>
    <w:rsid w:val="00E73642"/>
    <w:rsid w:val="00E95663"/>
    <w:rsid w:val="00EB5FCD"/>
    <w:rsid w:val="00ED1EAA"/>
    <w:rsid w:val="00EE4449"/>
    <w:rsid w:val="00EE522F"/>
    <w:rsid w:val="00EF6DC9"/>
    <w:rsid w:val="00F131F1"/>
    <w:rsid w:val="00F179A5"/>
    <w:rsid w:val="00F773BC"/>
    <w:rsid w:val="00FE163B"/>
    <w:rsid w:val="015D2565"/>
    <w:rsid w:val="04ED2F9A"/>
    <w:rsid w:val="1008205B"/>
    <w:rsid w:val="12C14821"/>
    <w:rsid w:val="14BE17F2"/>
    <w:rsid w:val="19C32646"/>
    <w:rsid w:val="210E1B9C"/>
    <w:rsid w:val="25C10CBC"/>
    <w:rsid w:val="38F40755"/>
    <w:rsid w:val="3A825FA7"/>
    <w:rsid w:val="4DD260A4"/>
    <w:rsid w:val="4E5A54AB"/>
    <w:rsid w:val="52DD25C8"/>
    <w:rsid w:val="56997C2E"/>
    <w:rsid w:val="5FD0315F"/>
    <w:rsid w:val="60127AC9"/>
    <w:rsid w:val="613A1AFD"/>
    <w:rsid w:val="670D2D09"/>
    <w:rsid w:val="679863DE"/>
    <w:rsid w:val="6FFE7881"/>
    <w:rsid w:val="73D70781"/>
    <w:rsid w:val="7A2E585B"/>
    <w:rsid w:val="7B93746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1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28"/>
    <w:semiHidden/>
    <w:unhideWhenUsed/>
    <w:qFormat/>
    <w:uiPriority w:val="99"/>
    <w:pPr>
      <w:tabs>
        <w:tab w:val="center" w:pos="4153"/>
        <w:tab w:val="right" w:pos="8306"/>
      </w:tabs>
      <w:snapToGrid w:val="0"/>
      <w:jc w:val="left"/>
    </w:pPr>
    <w:rPr>
      <w:sz w:val="18"/>
      <w:szCs w:val="18"/>
    </w:rPr>
  </w:style>
  <w:style w:type="paragraph" w:styleId="3">
    <w:name w:val="header"/>
    <w:basedOn w:val="1"/>
    <w:link w:val="2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6">
    <w:name w:val="Strong"/>
    <w:basedOn w:val="5"/>
    <w:qFormat/>
    <w:uiPriority w:val="22"/>
    <w:rPr>
      <w:b/>
      <w:bCs/>
    </w:rPr>
  </w:style>
  <w:style w:type="character" w:styleId="7">
    <w:name w:val="FollowedHyperlink"/>
    <w:basedOn w:val="5"/>
    <w:semiHidden/>
    <w:unhideWhenUsed/>
    <w:qFormat/>
    <w:uiPriority w:val="99"/>
    <w:rPr>
      <w:color w:val="000000"/>
      <w:u w:val="none"/>
    </w:rPr>
  </w:style>
  <w:style w:type="character" w:styleId="8">
    <w:name w:val="Emphasis"/>
    <w:basedOn w:val="5"/>
    <w:qFormat/>
    <w:uiPriority w:val="20"/>
  </w:style>
  <w:style w:type="character" w:styleId="9">
    <w:name w:val="HTML Definition"/>
    <w:basedOn w:val="5"/>
    <w:semiHidden/>
    <w:unhideWhenUsed/>
    <w:qFormat/>
    <w:uiPriority w:val="99"/>
  </w:style>
  <w:style w:type="character" w:styleId="10">
    <w:name w:val="HTML Acronym"/>
    <w:basedOn w:val="5"/>
    <w:semiHidden/>
    <w:unhideWhenUsed/>
    <w:qFormat/>
    <w:uiPriority w:val="99"/>
  </w:style>
  <w:style w:type="character" w:styleId="11">
    <w:name w:val="HTML Variable"/>
    <w:basedOn w:val="5"/>
    <w:semiHidden/>
    <w:unhideWhenUsed/>
    <w:qFormat/>
    <w:uiPriority w:val="99"/>
  </w:style>
  <w:style w:type="character" w:styleId="12">
    <w:name w:val="Hyperlink"/>
    <w:basedOn w:val="5"/>
    <w:unhideWhenUsed/>
    <w:qFormat/>
    <w:uiPriority w:val="99"/>
    <w:rPr>
      <w:color w:val="000000"/>
      <w:u w:val="none"/>
    </w:rPr>
  </w:style>
  <w:style w:type="character" w:styleId="13">
    <w:name w:val="HTML Code"/>
    <w:basedOn w:val="5"/>
    <w:semiHidden/>
    <w:unhideWhenUsed/>
    <w:qFormat/>
    <w:uiPriority w:val="99"/>
    <w:rPr>
      <w:rFonts w:ascii="Courier New" w:hAnsi="Courier New"/>
      <w:sz w:val="20"/>
    </w:rPr>
  </w:style>
  <w:style w:type="character" w:styleId="14">
    <w:name w:val="HTML Cite"/>
    <w:basedOn w:val="5"/>
    <w:semiHidden/>
    <w:unhideWhenUsed/>
    <w:qFormat/>
    <w:uiPriority w:val="99"/>
  </w:style>
  <w:style w:type="paragraph" w:styleId="16">
    <w:name w:val="List Paragraph"/>
    <w:basedOn w:val="1"/>
    <w:qFormat/>
    <w:uiPriority w:val="34"/>
    <w:pPr>
      <w:ind w:firstLine="420" w:firstLineChars="200"/>
    </w:pPr>
  </w:style>
  <w:style w:type="character" w:customStyle="1" w:styleId="17">
    <w:name w:val="font41"/>
    <w:basedOn w:val="5"/>
    <w:qFormat/>
    <w:uiPriority w:val="0"/>
    <w:rPr>
      <w:rFonts w:hint="eastAsia" w:ascii="宋体" w:hAnsi="宋体" w:eastAsia="宋体" w:cs="宋体"/>
      <w:color w:val="000000"/>
      <w:sz w:val="22"/>
      <w:szCs w:val="22"/>
      <w:u w:val="none"/>
    </w:rPr>
  </w:style>
  <w:style w:type="character" w:customStyle="1" w:styleId="18">
    <w:name w:val="font21"/>
    <w:basedOn w:val="5"/>
    <w:qFormat/>
    <w:uiPriority w:val="0"/>
    <w:rPr>
      <w:rFonts w:ascii="font-weight : 400" w:hAnsi="font-weight : 400" w:eastAsia="font-weight : 400" w:cs="font-weight : 400"/>
      <w:color w:val="000000"/>
      <w:sz w:val="22"/>
      <w:szCs w:val="22"/>
      <w:u w:val="none"/>
    </w:rPr>
  </w:style>
  <w:style w:type="character" w:customStyle="1" w:styleId="19">
    <w:name w:val="font01"/>
    <w:basedOn w:val="5"/>
    <w:qFormat/>
    <w:uiPriority w:val="0"/>
    <w:rPr>
      <w:rFonts w:hint="default" w:ascii="Times New Roman" w:hAnsi="Times New Roman" w:cs="Times New Roman"/>
      <w:color w:val="000000"/>
      <w:sz w:val="22"/>
      <w:szCs w:val="22"/>
      <w:u w:val="none"/>
    </w:rPr>
  </w:style>
  <w:style w:type="character" w:customStyle="1" w:styleId="20">
    <w:name w:val="font101"/>
    <w:basedOn w:val="5"/>
    <w:qFormat/>
    <w:uiPriority w:val="0"/>
    <w:rPr>
      <w:rFonts w:hint="eastAsia" w:ascii="宋体" w:hAnsi="宋体" w:eastAsia="宋体" w:cs="宋体"/>
      <w:color w:val="000000"/>
      <w:sz w:val="22"/>
      <w:szCs w:val="22"/>
      <w:u w:val="none"/>
    </w:rPr>
  </w:style>
  <w:style w:type="character" w:customStyle="1" w:styleId="21">
    <w:name w:val="font11"/>
    <w:basedOn w:val="5"/>
    <w:qFormat/>
    <w:uiPriority w:val="0"/>
    <w:rPr>
      <w:rFonts w:hint="eastAsia" w:ascii="宋体" w:hAnsi="宋体" w:eastAsia="宋体" w:cs="宋体"/>
      <w:color w:val="000000"/>
      <w:sz w:val="22"/>
      <w:szCs w:val="22"/>
      <w:u w:val="none"/>
    </w:rPr>
  </w:style>
  <w:style w:type="character" w:customStyle="1" w:styleId="22">
    <w:name w:val="font112"/>
    <w:basedOn w:val="5"/>
    <w:qFormat/>
    <w:uiPriority w:val="0"/>
    <w:rPr>
      <w:rFonts w:hint="eastAsia" w:ascii="宋体" w:hAnsi="宋体" w:eastAsia="宋体" w:cs="宋体"/>
      <w:color w:val="000000"/>
      <w:sz w:val="22"/>
      <w:szCs w:val="22"/>
      <w:u w:val="none"/>
    </w:rPr>
  </w:style>
  <w:style w:type="character" w:customStyle="1" w:styleId="23">
    <w:name w:val="item-name"/>
    <w:basedOn w:val="5"/>
    <w:qFormat/>
    <w:uiPriority w:val="0"/>
  </w:style>
  <w:style w:type="character" w:customStyle="1" w:styleId="24">
    <w:name w:val="item-name1"/>
    <w:basedOn w:val="5"/>
    <w:qFormat/>
    <w:uiPriority w:val="0"/>
  </w:style>
  <w:style w:type="character" w:customStyle="1" w:styleId="25">
    <w:name w:val="item-name2"/>
    <w:basedOn w:val="5"/>
    <w:qFormat/>
    <w:uiPriority w:val="0"/>
  </w:style>
  <w:style w:type="character" w:customStyle="1" w:styleId="26">
    <w:name w:val="item-name3"/>
    <w:basedOn w:val="5"/>
    <w:qFormat/>
    <w:uiPriority w:val="0"/>
  </w:style>
  <w:style w:type="character" w:customStyle="1" w:styleId="27">
    <w:name w:val="页眉 Char"/>
    <w:basedOn w:val="5"/>
    <w:link w:val="3"/>
    <w:semiHidden/>
    <w:uiPriority w:val="99"/>
    <w:rPr>
      <w:rFonts w:asciiTheme="minorHAnsi" w:hAnsiTheme="minorHAnsi" w:eastAsiaTheme="minorEastAsia" w:cstheme="minorBidi"/>
      <w:kern w:val="2"/>
      <w:sz w:val="18"/>
      <w:szCs w:val="18"/>
    </w:rPr>
  </w:style>
  <w:style w:type="character" w:customStyle="1" w:styleId="28">
    <w:name w:val="页脚 Char"/>
    <w:basedOn w:val="5"/>
    <w:link w:val="2"/>
    <w:semiHidden/>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847</Words>
  <Characters>4831</Characters>
  <Lines>40</Lines>
  <Paragraphs>11</Paragraphs>
  <TotalTime>0</TotalTime>
  <ScaleCrop>false</ScaleCrop>
  <LinksUpToDate>false</LinksUpToDate>
  <CharactersWithSpaces>5667</CharactersWithSpaces>
  <Application>WPS Office_10.1.0.7521_F1E327BC-269C-435d-A152-05C5408002CA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2019-03-06T09:16:00Z</dcterms:created>
  <dc:creator>骆亚琪</dc:creator>
  <cp:lastModifiedBy>硕博研究生招聘顾问</cp:lastModifiedBy>
  <cp:lastPrinted>2019-01-26T03:11:00Z</cp:lastPrinted>
  <dcterms:modified xsi:type="dcterms:W3CDTF">2019-11-01T10:06:40Z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RubyTemplateID" linkTarget="0">
    <vt:lpwstr>6</vt:lpwstr>
  </property>
  <property fmtid="{D5CDD505-2E9C-101B-9397-08002B2CF9AE}" pid="3" name="KSOProductBuildVer">
    <vt:lpwstr>2052-10.1.0.7521</vt:lpwstr>
  </property>
</Properties>
</file>